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D1" w:rsidRPr="005E76A7" w:rsidRDefault="00F022D1" w:rsidP="001E0DD7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1E0DD7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1E0DD7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1E0DD7">
      <w:pPr>
        <w:pStyle w:val="Tekstpodstawowy"/>
        <w:spacing w:before="60" w:line="280" w:lineRule="atLeast"/>
        <w:ind w:left="0"/>
        <w:jc w:val="center"/>
        <w:rPr>
          <w:b/>
          <w:sz w:val="18"/>
          <w:szCs w:val="18"/>
        </w:rPr>
      </w:pPr>
    </w:p>
    <w:p w:rsidR="00F022D1" w:rsidRPr="005E76A7" w:rsidRDefault="00F022D1" w:rsidP="001E0DD7">
      <w:pPr>
        <w:pStyle w:val="Tekstpodstawowy"/>
        <w:spacing w:before="60" w:line="280" w:lineRule="atLeast"/>
        <w:ind w:left="0"/>
        <w:jc w:val="center"/>
        <w:rPr>
          <w:b/>
          <w:sz w:val="18"/>
          <w:szCs w:val="18"/>
        </w:rPr>
      </w:pPr>
    </w:p>
    <w:p w:rsidR="00F022D1" w:rsidRPr="005E76A7" w:rsidRDefault="00F022D1" w:rsidP="001E0DD7">
      <w:pPr>
        <w:pStyle w:val="STT"/>
        <w:contextualSpacing w:val="0"/>
        <w:jc w:val="center"/>
      </w:pPr>
      <w:r w:rsidRPr="005E76A7">
        <w:t>SPECYFIKACJA TECHNICZNA WYKONANIA I ODBIORU ROBÓT BUDOWLANYCH</w:t>
      </w:r>
    </w:p>
    <w:p w:rsidR="00F022D1" w:rsidRPr="005E76A7" w:rsidRDefault="00F022D1" w:rsidP="001E0DD7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</w:p>
    <w:p w:rsidR="00F022D1" w:rsidRPr="005E76A7" w:rsidRDefault="00F022D1" w:rsidP="001E0DD7">
      <w:pPr>
        <w:pStyle w:val="STT"/>
        <w:contextualSpacing w:val="0"/>
      </w:pPr>
    </w:p>
    <w:p w:rsidR="00F022D1" w:rsidRPr="005E76A7" w:rsidRDefault="00F022D1" w:rsidP="001E0DD7">
      <w:pPr>
        <w:pStyle w:val="STT"/>
        <w:contextualSpacing w:val="0"/>
      </w:pPr>
    </w:p>
    <w:p w:rsidR="00F022D1" w:rsidRPr="008C130E" w:rsidRDefault="00F022D1" w:rsidP="001E0DD7">
      <w:pPr>
        <w:pStyle w:val="STT"/>
        <w:contextualSpacing w:val="0"/>
        <w:jc w:val="center"/>
        <w:rPr>
          <w:b/>
        </w:rPr>
      </w:pPr>
      <w:r w:rsidRPr="008C130E">
        <w:rPr>
          <w:b/>
        </w:rPr>
        <w:t>D.0</w:t>
      </w:r>
      <w:r w:rsidR="0094706F">
        <w:rPr>
          <w:b/>
        </w:rPr>
        <w:t>1</w:t>
      </w:r>
      <w:r w:rsidRPr="008C130E">
        <w:rPr>
          <w:b/>
        </w:rPr>
        <w:t>.0</w:t>
      </w:r>
      <w:r w:rsidR="0094706F">
        <w:rPr>
          <w:b/>
        </w:rPr>
        <w:t>2</w:t>
      </w:r>
      <w:r w:rsidRPr="008C130E">
        <w:rPr>
          <w:b/>
        </w:rPr>
        <w:t>.01</w:t>
      </w:r>
    </w:p>
    <w:p w:rsidR="00F022D1" w:rsidRPr="005E76A7" w:rsidRDefault="00F022D1" w:rsidP="001E0DD7">
      <w:pPr>
        <w:pStyle w:val="STT"/>
        <w:contextualSpacing w:val="0"/>
        <w:jc w:val="center"/>
      </w:pPr>
    </w:p>
    <w:p w:rsidR="00F022D1" w:rsidRPr="005E76A7" w:rsidRDefault="00F022D1" w:rsidP="001E0DD7">
      <w:pPr>
        <w:pStyle w:val="STT"/>
        <w:contextualSpacing w:val="0"/>
        <w:jc w:val="center"/>
      </w:pPr>
    </w:p>
    <w:p w:rsidR="00F022D1" w:rsidRPr="008C130E" w:rsidRDefault="0094706F" w:rsidP="001E0DD7">
      <w:pPr>
        <w:pStyle w:val="STT"/>
        <w:contextualSpacing w:val="0"/>
        <w:jc w:val="center"/>
        <w:rPr>
          <w:b/>
        </w:rPr>
      </w:pPr>
      <w:r>
        <w:rPr>
          <w:b/>
        </w:rPr>
        <w:t>USUNIĘCIE DRZEW I KRZEWÓW</w:t>
      </w:r>
    </w:p>
    <w:p w:rsidR="00F022D1" w:rsidRPr="005E76A7" w:rsidRDefault="00F022D1" w:rsidP="001E0DD7">
      <w:pPr>
        <w:spacing w:before="60" w:line="280" w:lineRule="atLeast"/>
        <w:jc w:val="center"/>
        <w:rPr>
          <w:sz w:val="18"/>
          <w:szCs w:val="18"/>
        </w:rPr>
        <w:sectPr w:rsidR="00F022D1" w:rsidRPr="005E76A7" w:rsidSect="00182511">
          <w:type w:val="continuous"/>
          <w:pgSz w:w="11910" w:h="16840" w:code="9"/>
          <w:pgMar w:top="1134" w:right="1134" w:bottom="1418" w:left="1134" w:header="454" w:footer="284" w:gutter="0"/>
          <w:cols w:space="708"/>
        </w:sectPr>
      </w:pPr>
    </w:p>
    <w:p w:rsidR="00F022D1" w:rsidRPr="00D634A3" w:rsidRDefault="00F022D1" w:rsidP="001E0DD7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0" w:name="_bookmark0"/>
      <w:bookmarkEnd w:id="0"/>
      <w:r w:rsidRPr="00D634A3">
        <w:rPr>
          <w:caps/>
        </w:rPr>
        <w:lastRenderedPageBreak/>
        <w:t>WSTĘP</w:t>
      </w:r>
    </w:p>
    <w:p w:rsidR="00F022D1" w:rsidRPr="005E76A7" w:rsidRDefault="00F022D1" w:rsidP="001E0DD7">
      <w:pPr>
        <w:pStyle w:val="STN"/>
        <w:numPr>
          <w:ilvl w:val="1"/>
          <w:numId w:val="4"/>
        </w:numPr>
        <w:ind w:left="0" w:firstLine="0"/>
        <w:contextualSpacing w:val="0"/>
      </w:pPr>
      <w:bookmarkStart w:id="1" w:name="_bookmark1"/>
      <w:bookmarkEnd w:id="1"/>
      <w:r w:rsidRPr="005E76A7">
        <w:t>Nazwa zadania</w:t>
      </w:r>
    </w:p>
    <w:p w:rsidR="00F022D1" w:rsidRPr="005E76A7" w:rsidRDefault="00F022D1" w:rsidP="009C23CC">
      <w:pPr>
        <w:pStyle w:val="STT"/>
        <w:contextualSpacing w:val="0"/>
      </w:pPr>
      <w:bookmarkStart w:id="2" w:name="_bookmark2"/>
      <w:bookmarkEnd w:id="2"/>
      <w:r w:rsidRPr="005E76A7">
        <w:t xml:space="preserve"> </w:t>
      </w:r>
      <w:r w:rsidR="009C23CC" w:rsidRPr="000053CD">
        <w:rPr>
          <w:rFonts w:cs="Arial"/>
          <w:szCs w:val="20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  <w:r w:rsidRPr="005E76A7">
        <w:t>Przedmiot STWiORB</w:t>
      </w:r>
    </w:p>
    <w:p w:rsidR="000957A7" w:rsidRPr="00F86C4C" w:rsidRDefault="000957A7" w:rsidP="001E0DD7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FE6E69">
        <w:rPr>
          <w:color w:val="000000"/>
          <w:sz w:val="18"/>
          <w:szCs w:val="18"/>
        </w:rPr>
        <w:t xml:space="preserve">Przedmiotem niniejszej Specyfikacji Technicznej Wykonania i Odbioru Robót Budowlanych </w:t>
      </w:r>
      <w:r>
        <w:rPr>
          <w:color w:val="000000"/>
          <w:sz w:val="18"/>
          <w:szCs w:val="18"/>
        </w:rPr>
        <w:t xml:space="preserve">(STWiORB) </w:t>
      </w:r>
      <w:r w:rsidRPr="00FE6E69">
        <w:rPr>
          <w:color w:val="000000"/>
          <w:sz w:val="18"/>
          <w:szCs w:val="18"/>
        </w:rPr>
        <w:t xml:space="preserve">są wymagania dotyczące wykonania i odbioru Robót związanych z </w:t>
      </w:r>
      <w:r w:rsidR="0094706F">
        <w:rPr>
          <w:color w:val="000000"/>
          <w:sz w:val="18"/>
          <w:szCs w:val="18"/>
        </w:rPr>
        <w:t>usunięciem drzew i krzewów,</w:t>
      </w:r>
      <w:r>
        <w:rPr>
          <w:color w:val="000000"/>
          <w:sz w:val="18"/>
          <w:szCs w:val="18"/>
        </w:rPr>
        <w:t xml:space="preserve"> w ramach realizacji zadania zgodnie z pkt 1.1.</w:t>
      </w:r>
    </w:p>
    <w:p w:rsidR="000957A7" w:rsidRDefault="000957A7" w:rsidP="001E0DD7">
      <w:pPr>
        <w:pStyle w:val="STN"/>
        <w:numPr>
          <w:ilvl w:val="1"/>
          <w:numId w:val="4"/>
        </w:numPr>
        <w:ind w:left="0" w:firstLine="0"/>
        <w:contextualSpacing w:val="0"/>
      </w:pPr>
      <w:bookmarkStart w:id="3" w:name="_Toc72900820"/>
      <w:r w:rsidRPr="00765FC9">
        <w:t xml:space="preserve">Zakres Robót objętych </w:t>
      </w:r>
      <w:r>
        <w:t>STWiORB</w:t>
      </w:r>
      <w:bookmarkEnd w:id="3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 zakresie prac związanych z usunięciem drzew i krzewów z pasa drogowego zawiera się: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Karczowanie drzew o określonej średnicy pnia wraz z wywozem materiału z pozysku,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Karczowanie lasów i zagajników wraz z wywozem materiału z pozysku,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Karczowanie krzaków i poszycia,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Usunięcie wraz z wywozem karpin pozostałych po wycince drzew, w tym również</w:t>
      </w:r>
    </w:p>
    <w:p w:rsidR="0094706F" w:rsidRPr="00EE586A" w:rsidRDefault="0094706F" w:rsidP="0094706F">
      <w:pPr>
        <w:pStyle w:val="Akapitzlist"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pozostałych po wycince zrealizowanej przez Lasy Państwowe.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4" w:name="_Toc72103158"/>
      <w:r w:rsidRPr="00EE586A">
        <w:t>Określenia podstawowe</w:t>
      </w:r>
      <w:bookmarkEnd w:id="4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Drzewo</w:t>
      </w:r>
      <w:r w:rsidRPr="00EE586A">
        <w:rPr>
          <w:sz w:val="18"/>
          <w:szCs w:val="18"/>
        </w:rPr>
        <w:t xml:space="preserve"> - roślina wieloletnia dużych rozmiarów (średnica &gt; 10 cm - mierzona 1,30 m odterenu) o wyraźnie wykształconym pniu lub pniach, który rozgałęzia się w koronę.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Przewodnik</w:t>
      </w:r>
      <w:r w:rsidRPr="00EE586A">
        <w:rPr>
          <w:sz w:val="18"/>
          <w:szCs w:val="18"/>
        </w:rPr>
        <w:t xml:space="preserve"> – pęd główny stanowiący oś drzewa.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Pień drzewa</w:t>
      </w:r>
      <w:r w:rsidRPr="00EE586A">
        <w:rPr>
          <w:sz w:val="18"/>
          <w:szCs w:val="18"/>
        </w:rPr>
        <w:t xml:space="preserve"> – nieugałęziona dolna część przewodnika.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Zagajnik</w:t>
      </w:r>
      <w:r w:rsidRPr="00EE586A">
        <w:rPr>
          <w:sz w:val="18"/>
          <w:szCs w:val="18"/>
        </w:rPr>
        <w:t xml:space="preserve"> – skupina drzew o średnicy pni poniżej 10 cm.Wyróżnia się zagajniki:</w:t>
      </w:r>
    </w:p>
    <w:p w:rsidR="0094706F" w:rsidRPr="009A7B31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9A7B31">
        <w:rPr>
          <w:sz w:val="18"/>
          <w:szCs w:val="18"/>
        </w:rPr>
        <w:t>gęste – pokrywające powyżej 60% powierzchni,</w:t>
      </w:r>
    </w:p>
    <w:p w:rsidR="0094706F" w:rsidRPr="009A7B31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9A7B31">
        <w:rPr>
          <w:sz w:val="18"/>
          <w:szCs w:val="18"/>
        </w:rPr>
        <w:t>średnie – pokrywające 31 – 60% powierzchni,</w:t>
      </w:r>
    </w:p>
    <w:p w:rsidR="0094706F" w:rsidRPr="009A7B31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9A7B31">
        <w:rPr>
          <w:sz w:val="18"/>
          <w:szCs w:val="18"/>
        </w:rPr>
        <w:t>rzadkie – pokrywające 10 – 30% powierzchni.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Krzew</w:t>
      </w:r>
      <w:r w:rsidRPr="00EE586A">
        <w:rPr>
          <w:sz w:val="18"/>
          <w:szCs w:val="18"/>
        </w:rPr>
        <w:t xml:space="preserve"> – wieloletnia wielopędowa zdrewniała roślina bez wykształconego przewodnika,z krótkim pędem głównym (do 10 cm), z którego wyrastają równorzędne, rozgałęziające siępędy boczne.Wyróżnia się krzewy:</w:t>
      </w:r>
    </w:p>
    <w:p w:rsidR="0094706F" w:rsidRPr="00EE586A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 xml:space="preserve">gęste – pokrywające powyżej 60% powierzchni, </w:t>
      </w:r>
    </w:p>
    <w:p w:rsidR="0094706F" w:rsidRPr="00EE586A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średnie – pokrywające 31 – 60% powierzchni,</w:t>
      </w:r>
    </w:p>
    <w:p w:rsidR="0094706F" w:rsidRPr="00EE586A" w:rsidRDefault="0094706F" w:rsidP="009A7B31">
      <w:pPr>
        <w:pStyle w:val="Akapitzlist"/>
        <w:numPr>
          <w:ilvl w:val="0"/>
          <w:numId w:val="32"/>
        </w:num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rzadkie – pokrywające 10 – 30% powierzchni.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Pniak</w:t>
      </w:r>
      <w:r w:rsidRPr="00EE586A">
        <w:rPr>
          <w:sz w:val="18"/>
          <w:szCs w:val="18"/>
        </w:rPr>
        <w:t xml:space="preserve"> – dolna część pnia pozostająca przy karpie po ścięciu drzewa.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Drewno z pni drzew</w:t>
      </w:r>
      <w:r w:rsidRPr="00EE586A">
        <w:rPr>
          <w:sz w:val="18"/>
          <w:szCs w:val="18"/>
        </w:rPr>
        <w:t xml:space="preserve"> – materiał pochodzący z pni drzew w postaci: drewnawielkowymiarowego (średnica pnia powyżej 14 cm), średniowymiarowego (średnica pnia 7- 14 cm) i małowymiarowego (średnica pnia poniżej 7 cm).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Drągowina i gałęzie</w:t>
      </w:r>
      <w:r w:rsidRPr="00EE586A">
        <w:rPr>
          <w:sz w:val="18"/>
          <w:szCs w:val="18"/>
        </w:rPr>
        <w:t xml:space="preserve"> – drewno pochodzące z koron drzew oraz zagajników i krzewów.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Karpina – drewno części podziemnej drzewa wraz z pniakiem pozostałym po ścięciu.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b/>
          <w:bCs/>
          <w:sz w:val="18"/>
          <w:szCs w:val="18"/>
        </w:rPr>
        <w:t>Zrębki</w:t>
      </w:r>
      <w:r w:rsidRPr="00EE586A">
        <w:rPr>
          <w:sz w:val="18"/>
          <w:szCs w:val="18"/>
        </w:rPr>
        <w:t xml:space="preserve"> - materiał, uzyskany poprzez rozdrobnienie specjalnymi maszynami drągowizny, gałęzi i karpiny z usunięcia zieleni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Pozostałe określenia podstawowe są zgodne z obowiązującymi, odpowiednimi polskiminormami oraz z definicjami podanymi D-M-00.00.00 „Wymagania ogólne”.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5" w:name="_Toc72103159"/>
      <w:r w:rsidRPr="0094706F">
        <w:rPr>
          <w:caps/>
        </w:rPr>
        <w:t>MATERIAŁY</w:t>
      </w:r>
      <w:bookmarkEnd w:id="5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wymagania dotyczące materiałów, ich pozyskiwania i składowania podano w D-M- 00.00.00 „Wymagania ogólne”.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lastRenderedPageBreak/>
        <w:t>Do zasypania dołów powstałych po usunięciu karpin i korzeni należy stosować materiał przydatny do budowy nasypu zgodnie z D.02.03.01 Roboty ziemne. Wykonanie nasypów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6" w:name="_Toc72103160"/>
      <w:r w:rsidRPr="0094706F">
        <w:rPr>
          <w:caps/>
        </w:rPr>
        <w:t>SPRZĘT</w:t>
      </w:r>
      <w:bookmarkEnd w:id="6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wymagania dotyczące sprzętu podano w D-M 00.00.00 „Wymagania ogólne”.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Sprzęt powinien odpowiadać pod względem typów i ilości wskazaniom zawartym w STWiORBlub projekcie organizacji robót, zaakceptowanym przez Inżyniera lub jego uprawnionegoprzedstawiciela, a w przypadku braku takich dokumentów powinien być uzgodniony i zaakceptowany przez Inżyniera lub jego uprawnionego przedstawiciela. Jakikolwiek sprzęt,maszyny, urządzenia i narzędzia nie gwarantujące zachowania wymagań jakościowychzostaną przez Inżyniera zdyskwalifikowane i niedopuszczone do robót.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7" w:name="_Toc72103161"/>
      <w:r w:rsidRPr="00EE586A">
        <w:t>Sprzęt do karczowania roślinności</w:t>
      </w:r>
      <w:bookmarkEnd w:id="7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Roboty związane z karczowaniem roślinności mogą być wykonane ręcznie i mechanicznie.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Do wykonania robót może być stosowany następujący sprzęt: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piły mechaniczne,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piłki ręczne, nożyce,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drabiny,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spycharki,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specjalne maszyny przeznaczone do karczowania pni oraz ich usunięcia z pasadrogowego,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koparki lub ciągniki ze specjalnymi osprzętami do prowadzenia prac związanychz wyrębem drzew,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specjalne maszyny przeznaczone do rozdrobnienia karpiny, drągowiny oraz gałęzi,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samochody do transportu materiałów,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pędzle do zabezpieczania drzew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lub inny sprzęt zaakceptowany przez Inżyniera lub jego uprawnionego przedstawiciela.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8" w:name="_Toc72103162"/>
      <w:r w:rsidRPr="0094706F">
        <w:rPr>
          <w:caps/>
        </w:rPr>
        <w:t>TRANSPORT</w:t>
      </w:r>
      <w:bookmarkEnd w:id="8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wymagania dotyczące transportu podano w D-M-00.00.00 „Wymagania ogólne”.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9" w:name="_Toc72103163"/>
      <w:r w:rsidRPr="00EE586A">
        <w:t>Transport dłużyc, gałęzi i karpiny</w:t>
      </w:r>
      <w:bookmarkEnd w:id="9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Drewno pochodzące z wycinki drzew wykonanej przez Wykonawcę jest własnością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Zamawiającego. Wykonawca zorganizuje składowisko drewna uzyskanego z wycinki 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będzie ponosił koszt jego przygotowania, zabezpieczenia i dozorowania, do czasu zbycia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przez Zamawiającego składowanego materiału, jednak nie dłużej niż do zakończenia robót.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Wykonawca dokona oznakowania poszczególnych sztuk dłużyc i umożliwi Zamawiającemu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każdorazowo na wezwanie na wstęp na Składowisko.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Gałęzie i krzaki oraz karpina i materiały z prac pielęgnacyjnych, jako odpad powinny zostać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wywiezione przez Wykonawcę na jego składowisko lub wysypisko za pomocą przyczepy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dłużycowej i skrzyniowej lub za pomocą innego sprzętu zaproponowanego przez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Wykonawcę w PZJ i zatwierdzonego przez Inżyniera lub jego uprawnionego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przedstawiciela. Koszt utylizacji odpadu został uwzględniony w cenie kontraktowej.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Pnie, karpinę oraz gałęzie należy przewozić transportem samochodowym.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Pnie przedstawiające wartość, jako materiał użytkowy (np. budowlany, meblarski itp.)powinny być transportowane w sposób nie powodujący ich uszkodzeń.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Transport trocin z rozdrobnienia gałęzi, krzewów, korzeni powinien się odbywać samochodami</w:t>
      </w:r>
      <w:r w:rsidRPr="00EE586A">
        <w:rPr>
          <w:sz w:val="18"/>
          <w:szCs w:val="18"/>
        </w:rPr>
        <w:br/>
        <w:t>zaopatrzonymi w plandeki.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10" w:name="_Toc72103164"/>
      <w:r w:rsidRPr="0094706F">
        <w:rPr>
          <w:caps/>
        </w:rPr>
        <w:t>WYKONANIE ROBÓT</w:t>
      </w:r>
      <w:bookmarkEnd w:id="10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 xml:space="preserve">Ogólne zasady wykonania robót podano w D-M-00.00.00 „Wymagania ogólne”. Wykonawca opracuje i przedstawi Inżynierowi do akceptacji Program Zapewnienia Jakości uwzględniający wszystkie warunki, w </w:t>
      </w:r>
      <w:r w:rsidRPr="00EE586A">
        <w:rPr>
          <w:sz w:val="18"/>
          <w:szCs w:val="18"/>
        </w:rPr>
        <w:lastRenderedPageBreak/>
        <w:t>jakich będą wykonywane roboty.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11" w:name="_Toc72103165"/>
      <w:r w:rsidRPr="00EE586A">
        <w:t>Zasady oczyszczania terenu z roślinności, usunięcie drzew i krzewów</w:t>
      </w:r>
      <w:bookmarkEnd w:id="11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Przed przystąpieniem do wycinki należy wykonać inwentaryzację istniejącego drzewostanu i w razie potrzeby sporządzić protokół rozbieżności. Protokół musi zostać zaakceptowany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przez Inżyniera lub jego uprawnionego przedstawiciela. Wykonawca sporządzi operat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brakarski. Wykonawca musi posiadać zgodę Inżyniera lub jego uprawnionego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przedstawiciela. na przystąpienie do wycinki drzew.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Roboty związane z usunięciem roślinności obejmują wycięcie i wykarczowanie drzew,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krzewów, podrostu leśnego i roślinnego, wywiezienie pni, karpiny i gałęzi poza teren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budowy, zasypanie dołów oraz zniszczenie pozostałości po usuniętej roślinności.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Wycinkę istniejącej zieleni należy przeprowadzić w zakresie niezbędnym dla realizacji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przedmiotowego przedsięwzięcia zgodnie z Dokumentacją Projektową. Roboty związane z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wycinką zieleni należy wykonać zgodnie z warunkami określonymi w rozstrzygnięciach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administracyjnych właściwych organów (decyzji o środowiskowych uwarunkowaniach,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postanowieniu wydanym w ramach ponownej oceny oddziaływania na środowisko lub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decyzji derogacyjnej). Wszelkie prace należy prowadzić pod nadzorem przyrodniczym,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który w razie potrzeby uzyska stosowne decyzje derogacyjne na odstępstwa od zakazów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 stosunku do gatunków chronionych w trybie przepisów ustawy o ochronie przyrody.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Wycinkę drzew i krzewów należy wykonać poza okresem lęgowym ptaków lub w trakcie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wskazanego okresu, pod nadzorem przyrodniczym / ornitologicznym, który dokona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inspekcji terenu pod kątem występowania gatunków chronionych.. Termin ten nie dotyczy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usuwania karpiny i korzeni, które Wykonawca może przeprowadzić w innym, dogodnym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dla siebie terminie. Wycinkę drzew o właściwościach materiału użytkowego wskazane jest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wykonywać w tzw. sezonie rębnym. Dokładny termin usunięcia drzew i krzewów podaje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Usuwanie karpin w miejscach gdzie występują stanowiska archeologiczne możliwe są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dopiero po przeprowadzeniu ratowniczych badań archeologicznych.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Prace związane z wycinką drzew w obrębie stanowisk archeologicznych powinny odbywać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się pod nadzorem Inspektora ds. archeologii.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Drzewa, pozostałości po drzewach i krzewy znajdujące się w pasie robót ziemnych i przewidziane w Dokumentacji Projektowej do usunięcia, należy ściąć i wykarczować przed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rozpoczęciem robót z dokładnym usunięciem korzeni.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Przy usuwaniu drzew należy ściąć pień, obciąć wierzchołek i gałęzie. Następnie gałęzie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odciągnąć i ułożyć w stosy, a drewno z pni przetoczyć i ułożyć na podkładach.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Przy usuwaniu pozostałości po drzewach (karp) należy odrąbać korzenie, a następnie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wydobyć pozostałą w ziemi część pnia spycharką i ułożyć w stosy na wskazanym miejscu.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Usuwanie zagajników polega na wywróceniu lub wyrwaniu z korzeniami drzew zagajnika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za pomocą spycharki, odrąbaniu korzeni i gałęzi, przemieszczeniu i ułożeniu w stosy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na wskazanym miejscu.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Usunięcie krzewów obejmuje wywrócenie lub wyrwanie z korzeniami krzewów za pomocą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spycharki i ułożenie w stosy na wskazanym miejscu.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Wycinkę drzew z terenów lasów państwowych wykona Nadleśnictwo. Drewno z tej wycinki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stanowi własność Nadleśnictwa, które odwiezie je z terenu budowy. Pozostałe po wycince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karpy drzew, gałęzie i drągowinę oraz zagajniki i krzewy usunie Wykonawca i uporządkuje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teren po wykonanych robotach.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 xml:space="preserve">Wycinkę drzew i krzewów rosnących poza obszarami </w:t>
      </w:r>
      <w:r w:rsidRPr="00EE586A">
        <w:rPr>
          <w:sz w:val="18"/>
          <w:szCs w:val="18"/>
        </w:rPr>
        <w:tab/>
        <w:t>leśnymi zarządzanymi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przez Nadleśnictwo wykona Wykonawca.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Wykonawca powinien usunąć pozostałe po wycince karpy, wyrównać i uporządkować teren.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Drągowinę, gałęzie i karpinę z usunięcia drzew, pozostałości po drzewach (karp), krzewów i zagajników należy odwieźć z terenu budowy na miejsce pozyskane przez Wykonawcę. Część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karp, w ilości zgodnej z Dokumentacją Projektową, należy zachować w celu rozłożenia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 sąsiedztwie przejść dla zwierząt o ile takie przewidziane są w dokumentacji. Należy je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przewieźć na miejsce pozyskane przez Wykonawcę i zabezpieczyć przed kradzieżą. Pozostałe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karpy, gałęzie i drągowina mogą być zezrębkowane i użyte, po przekompostowaniu, do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 xml:space="preserve">ściółkowania powierzchni pod projektowaną zielenią lub odwiezione z terenu </w:t>
      </w:r>
      <w:r w:rsidRPr="00EE586A">
        <w:rPr>
          <w:sz w:val="18"/>
          <w:szCs w:val="18"/>
        </w:rPr>
        <w:lastRenderedPageBreak/>
        <w:t>budowy w celu</w:t>
      </w:r>
      <w:r w:rsidR="0084175E">
        <w:rPr>
          <w:sz w:val="18"/>
          <w:szCs w:val="18"/>
        </w:rPr>
        <w:t xml:space="preserve"> </w:t>
      </w:r>
      <w:bookmarkStart w:id="12" w:name="_GoBack"/>
      <w:bookmarkEnd w:id="12"/>
      <w:r w:rsidRPr="00EE586A">
        <w:rPr>
          <w:sz w:val="18"/>
          <w:szCs w:val="18"/>
        </w:rPr>
        <w:t>innego wykorzystania.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Koszt wyrównania terenu, usunięcia, wywózki materiału z wycinki i odpadów ponosi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 miejscach dokopów i tych wykopów, z których grunt jest przeznaczony do wbudowania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 nasypy, teren należy oczyścić z roślinności tak, aby zawartość części organicznych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 gruntach przeznaczonych do wbudowania w nasypy nie przekraczała 2%. W miejscach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nasypów teren należy oczyścić tak, aby części roślinności nie znajdowały się na głębokości do60 cm poniżej niwelety robót i linii skarp nasypu.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Poza miejscami wykopów doły po wykarczowanych pniach należy wypełnić gruntem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przydatnym do budowy nasypów i zagęścić, zgodnie z wymaganiami zawartymi wD.02.03.01. „Wykonanie nasypów”.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Doły w obrębie przewidywanych wykopów oraz po wykarczowanych pniach, należytym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czasowo zabezpieczyć przed gromadzeniem się w nich wody. Materiał do zasypania dołów po karczowaniu Wykonawca pozyska na własny koszt.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Nadzór przyrodniczy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powinien dokonywać regularnych kontroli dołów i wykopów przed ich likwidacją, pod kątem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wykorzystywania tych miejsc przez małe zwierzęta, w szczególności płazy i w razie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koniczności wprowadzić właściwe działania zaradcze. Wykonawca ma obowiązek prowadzenia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robót w taki sposób, aby drzewa przedstawiające wartość, jako materiał użytkowy (np.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budowlany, meblarski itp.) nie utraciły tej właściwości w czasie robót.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Młode drzewa i inne rośliny przewidziane do przesadzenia powinny być wykopane z dużą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ostrożnością, w sposób który nie spowoduje trwałych uszkodzeń, a następnie zasadzone w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odpowiednim gruncie. Roślinność sąsiadująca z pasem robót, nie przeznaczona do usunięcia, nie może ulec uszkodzeniu. Jeżeli roślinność, która ma być zachowana, zostanie uszkodzona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lub zniszczona przez Wykonawcę, powinna być odtworzona na koszt Wykonawcy, w sposób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zaakceptowany przez Inżyniera lub jego uprawnionego przedstawiciela oraz Projektanta.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 przypadku stwierdzenia w obrębie planowanej inwestycji (w szczególności w obrębie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przeznaczonych do usunięcia zadrzewień przydrożnych) występowania gatunków roślin,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grzybów oraz zwierząt stanowiących przedmiot ochrony prawnej, Wykonawca zobowiązany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jest do sporządzenia materiałów niezbędnych do uzyskania decyzji zezwalających na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odstępstwa od obowiązujących zakazów w rozumieniu art. 51, 52 i 56 ustawy o ochronie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przyrody oraz uzyskać niezbędne zgody (decyzje derogacyjne) zezwalające na odstępstwa od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zakazów obowiązujących w stosunku do gatunków chronionych. Sporządzone wnioski 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uzyskanie decyzji derogacyjnych należy uzgodnić z Zamawiającym.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13" w:name="_Toc72103166"/>
      <w:r w:rsidRPr="00EE586A">
        <w:t>Zrębkowan</w:t>
      </w:r>
      <w:r w:rsidR="009A7B31">
        <w:t>i</w:t>
      </w:r>
      <w:r w:rsidRPr="00EE586A">
        <w:t>e drągowiny, gałęzi i karpin z usunięcia zieleni</w:t>
      </w:r>
      <w:bookmarkEnd w:id="13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Drągowinę, gałęzie i karpinę z usunięcia drzew, pozostałości po drzewach (karp) i krzewów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można zezrębkować (oprócz karp pozostawionych w celu rozłożenia w sąsiedztwie przejść dla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zwierząt). Do rozdrabniania konarów, gałęzi i karpiny należy wykorzystać specjalistyczne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maszyny służące do tego celu.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 przypadku wykorzystania zrębków do ściółkowania powierzchni projektowanych nasadzeń,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najlepiej składować zrębki w sąsiedztwie terenu budowy. Powinny one mieć frakcję20 – 60 mm. Okres kompostowania zrębków przeznaczonych do ściółkowania nasadzeń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powinien wynosić minimum 9 miesięcy. Zrębki należy składować w regularnych pryzmach,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których wysokość nie powinna przekraczać 2 m. Szerokość pryzmy na koronie nie powinna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przekraczać 2 m, natomiast szerokość u podstawy nasypu nie powinna być większa niż 4 m.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Górna powierzchnia pryzmy powinna być lekko wklęsła, co zapewnia lepsze przyjmowanie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wód opadowych. Nie wolno formować wyższych pryzm z uwagi na niebezpieczeństwo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samozapłonu zrębków. W celu lepszego napowietrzenia pryzmę należy przerabiać minimum1 raz w roku i ponownie ukształtować zgodnie z powyższymi wymaganiami.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Nadmiar zrębków oraz pozostałości po usunięciu roślinności i ich zrębkowaniu są własnością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Wykonawcy, który zobowiązany jest odwieźć je poza teren budowy na miejsce przez siebie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pozyskane na własny koszt i uporządkować teren po wykonanych robotach. Należy z nimi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postępować zgodnie z Ustawą o odpadach.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14" w:name="_Toc72103167"/>
      <w:r w:rsidRPr="00EE586A">
        <w:t>Zagospodarowanie ściętych drzew</w:t>
      </w:r>
      <w:bookmarkEnd w:id="14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Pozostałości po usuniętej roślinności powinny zostać wywiezione na składowisko lub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wysypisko Wykonawcy. Wyjątkowo dopuszcza się inne sposoby zniszczenia tych pozostałości uzgodnione z Inżynierem lub jego uprawnionym przedstawicielem.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15" w:name="_Toc72103168"/>
      <w:r w:rsidRPr="0094706F">
        <w:rPr>
          <w:caps/>
        </w:rPr>
        <w:lastRenderedPageBreak/>
        <w:t>KONTROLA JAKOŚCI ROBÓT</w:t>
      </w:r>
      <w:bookmarkEnd w:id="15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zasady kontroli jakości robót podano w DM</w:t>
      </w:r>
      <w:r w:rsidR="009A7B31">
        <w:rPr>
          <w:sz w:val="18"/>
          <w:szCs w:val="18"/>
        </w:rPr>
        <w:t>.</w:t>
      </w:r>
      <w:r w:rsidRPr="00EE586A">
        <w:rPr>
          <w:sz w:val="18"/>
          <w:szCs w:val="18"/>
        </w:rPr>
        <w:t xml:space="preserve">00.00.00 „Wymagania ogólne”. 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Sprawdzenie jakości robót polega na wizualnej ocenie kompletności usunięcia roślinności,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wykarczowania korzeni i zasypania dołów. Wskaźnik zagęszczenia gruntu wypełniającego doły powinien spełniać odpowiednie wymagania określone w D.02.03.01. "Wykonanie nasypów".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16" w:name="_Toc72103169"/>
      <w:r w:rsidRPr="0094706F">
        <w:rPr>
          <w:caps/>
        </w:rPr>
        <w:t>OBMIAR ROBÓT</w:t>
      </w:r>
      <w:bookmarkEnd w:id="16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zasady obmiaru robót podano w DM</w:t>
      </w:r>
      <w:r w:rsidR="009A7B31">
        <w:rPr>
          <w:sz w:val="18"/>
          <w:szCs w:val="18"/>
        </w:rPr>
        <w:t>.</w:t>
      </w:r>
      <w:r w:rsidRPr="00EE586A">
        <w:rPr>
          <w:sz w:val="18"/>
          <w:szCs w:val="18"/>
        </w:rPr>
        <w:t>00.00.00 „Wymagania ogólne”.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Obmiar robót powinien być dokonany na budowie, w obecności Inżyniera lub jego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uprawnionego przedstawiciela. Obmiar robót wymaga akceptacji Inżyniera lub jego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uprawnionego przedstawiciela.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Jednostką obmiarową jest: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1 szt. (sztuka) usunięcia pnia drzewa z karczowaniem poza terenami lasów o średnicy określonej w</w:t>
      </w:r>
      <w:r w:rsidR="009A7B31">
        <w:rPr>
          <w:sz w:val="18"/>
          <w:szCs w:val="18"/>
        </w:rPr>
        <w:t> </w:t>
      </w:r>
      <w:r w:rsidRPr="00EE586A">
        <w:rPr>
          <w:sz w:val="18"/>
          <w:szCs w:val="18"/>
        </w:rPr>
        <w:t>Dokumentacji Projektowej,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1 szt. (sztuka) usunięcia pozostałości po drzewie (karpy) poza terenami lasów lub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pozostałych po wycince zrealizowanej przez Lasy Państwowe o średnicy określonej w Dokumentacji Projektowej,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1 ha (hektar) usunięcia zagajników poza terenami lasów o gęstości określonej w Dokumentacji Projektowej,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1 ha (hektar) usunięcia krzewów poza terenami lasów o gęstości określonej w Dokumentacji Projektowej,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Obmiar nie powinien obejmować jakichkolwiek robót niewykazanych w Dokumentacji Projektowej, z</w:t>
      </w:r>
      <w:r w:rsidR="009A7B31">
        <w:rPr>
          <w:sz w:val="18"/>
          <w:szCs w:val="18"/>
        </w:rPr>
        <w:t> </w:t>
      </w:r>
      <w:r w:rsidRPr="00EE586A">
        <w:rPr>
          <w:sz w:val="18"/>
          <w:szCs w:val="18"/>
        </w:rPr>
        <w:t>wyjątkiem zaakceptowanych na piśmie przez Inżyniera lub jego uprawnionego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przedstawiciela. Dodatkowe roboty wykonane bez pisemnego upoważnienia Inżyniera lub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jego uprawnionego przedstawiciela. Te nie mogą stanowić podstawy do roszczeń o dodatkową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zapłatę.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17" w:name="_Toc72103170"/>
      <w:r w:rsidRPr="0094706F">
        <w:rPr>
          <w:caps/>
        </w:rPr>
        <w:t>ODBIÓR ROBÓT</w:t>
      </w:r>
      <w:bookmarkEnd w:id="17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zasady odbioru robót podano w DM</w:t>
      </w:r>
      <w:r w:rsidR="009A7B31">
        <w:rPr>
          <w:sz w:val="18"/>
          <w:szCs w:val="18"/>
        </w:rPr>
        <w:t>.</w:t>
      </w:r>
      <w:r w:rsidRPr="00EE586A">
        <w:rPr>
          <w:sz w:val="18"/>
          <w:szCs w:val="18"/>
        </w:rPr>
        <w:t>00.00.00 „Wymagania ogólne”.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Odbioru robót związanych z usunięciem drzew i krzewów dokonuje Inżynier lub jego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uprawniony przedstawiciel, po zgłoszeniu robót do odbioru przez Wykonawcę. Odbiór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powinien być przeprowadzony w</w:t>
      </w:r>
      <w:r w:rsidR="009A7B31">
        <w:rPr>
          <w:sz w:val="18"/>
          <w:szCs w:val="18"/>
        </w:rPr>
        <w:t> </w:t>
      </w:r>
      <w:r w:rsidRPr="00EE586A">
        <w:rPr>
          <w:sz w:val="18"/>
          <w:szCs w:val="18"/>
        </w:rPr>
        <w:t>czasie umożliwiającym wykonanie ewentualnych poprawek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bez hamowania postępu robót.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Roboty poprawkowe Wykonawca wykona na własny koszt w terminie ustalonym z Inżynierem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lub jego uprawnionym przedstawicielem.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Roboty uznaje się za wykonane zgodnie z Dokumentacją Projektową, WWiORB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oraz wymaganiami Inżyniera lub jego uprawnionego przedstawiciela, jeżeli wszystkie pomiary i badania prowadzone wg pkt. 6 dały wyniki pozytywne.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Odbiorowi robót zanikających i ulegających zakryciu podlega sprawdzenie dołów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po wykarczowanych pniach przed ich zasypaniem.</w:t>
      </w:r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18" w:name="_Toc72103171"/>
      <w:r w:rsidRPr="0094706F">
        <w:rPr>
          <w:caps/>
        </w:rPr>
        <w:t>PODSTAWA PŁATNOŚCI</w:t>
      </w:r>
      <w:bookmarkEnd w:id="18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Ogólne ustalenia dotyczące podstawy płatności podano w DM</w:t>
      </w:r>
      <w:r w:rsidR="009A7B31">
        <w:rPr>
          <w:sz w:val="18"/>
          <w:szCs w:val="18"/>
        </w:rPr>
        <w:t>.</w:t>
      </w:r>
      <w:r w:rsidRPr="00EE586A">
        <w:rPr>
          <w:sz w:val="18"/>
          <w:szCs w:val="18"/>
        </w:rPr>
        <w:t>00.00.00 „Wymagania ogólne”.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Wynagrodzenie ryczałtowe: zasady płatności podano w umowie między Zamawiającym, a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Wykonawcą.</w:t>
      </w:r>
    </w:p>
    <w:p w:rsidR="0094706F" w:rsidRPr="00EE586A" w:rsidRDefault="0094706F" w:rsidP="0094706F">
      <w:pPr>
        <w:pStyle w:val="STN"/>
        <w:numPr>
          <w:ilvl w:val="1"/>
          <w:numId w:val="4"/>
        </w:numPr>
        <w:ind w:left="0" w:firstLine="0"/>
        <w:contextualSpacing w:val="0"/>
      </w:pPr>
      <w:bookmarkStart w:id="19" w:name="_Toc7174898"/>
      <w:bookmarkStart w:id="20" w:name="_Toc72103172"/>
      <w:r w:rsidRPr="00EE586A">
        <w:t>Cena jednostki obmiarowej</w:t>
      </w:r>
      <w:bookmarkEnd w:id="19"/>
      <w:bookmarkEnd w:id="20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bookmarkStart w:id="21" w:name="_Toc7174899"/>
      <w:r w:rsidRPr="00EE586A">
        <w:rPr>
          <w:sz w:val="18"/>
          <w:szCs w:val="18"/>
        </w:rPr>
        <w:t>Cena jednostkowa wykonania robót obejmuje: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wyznaczenie drzew do wycinki,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wycięcie drzew lub krzewów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odkopanie pnia i odrąbanie korzeni,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odrąbanie karczy i gałęzi drzew,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lastRenderedPageBreak/>
        <w:t>pocięcie pni drzew o właściwościach materiału użytkowego,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załadowanie dłużyc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na środki transportowe i przewiezienie na plac składowy, wyładowanie z</w:t>
      </w:r>
      <w:r w:rsidR="009A7B31">
        <w:rPr>
          <w:sz w:val="18"/>
          <w:szCs w:val="18"/>
        </w:rPr>
        <w:t> </w:t>
      </w:r>
      <w:r w:rsidRPr="00EE586A">
        <w:rPr>
          <w:sz w:val="18"/>
          <w:szCs w:val="18"/>
        </w:rPr>
        <w:t>ułożeniem w stosy,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wszelkie koszty związane ze składowaniem dłużyc</w:t>
      </w:r>
      <w:r w:rsidR="0084175E">
        <w:rPr>
          <w:sz w:val="18"/>
          <w:szCs w:val="18"/>
        </w:rPr>
        <w:t xml:space="preserve"> </w:t>
      </w:r>
      <w:r w:rsidRPr="00EE586A">
        <w:rPr>
          <w:sz w:val="18"/>
          <w:szCs w:val="18"/>
        </w:rPr>
        <w:t>w tym znalezienie miejsca składowania, uzyskanie niezbędnych pozwoleń i zabezpieczenie placu składowego w okresie do zakończenia robót,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zasypanie dołów po karczowaniu wraz z zagęszczeniem,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wszelkie koszty związane ze składowaniem karp w celu ich późniejszego rozłożenia w sąsiedztwie przejść dla zwierząt,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utylizacja pozostałości po usuniętej roślinności,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oczyszczenie terenu robót po karczowaniu,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wszelkie koszty związane z zagospodarowaniem usuniętej roślinności,</w:t>
      </w:r>
    </w:p>
    <w:p w:rsidR="0094706F" w:rsidRPr="00EE586A" w:rsidRDefault="0094706F" w:rsidP="009A7B31">
      <w:pPr>
        <w:pStyle w:val="Akapitzlist"/>
        <w:numPr>
          <w:ilvl w:val="0"/>
          <w:numId w:val="33"/>
        </w:numPr>
        <w:autoSpaceDE/>
        <w:autoSpaceDN/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koszt utrzymania czystości na drogach w związku z transportem</w:t>
      </w:r>
      <w:bookmarkEnd w:id="21"/>
    </w:p>
    <w:p w:rsidR="0094706F" w:rsidRPr="0094706F" w:rsidRDefault="0094706F" w:rsidP="0094706F">
      <w:pPr>
        <w:pStyle w:val="STN"/>
        <w:numPr>
          <w:ilvl w:val="0"/>
          <w:numId w:val="4"/>
        </w:numPr>
        <w:spacing w:before="240"/>
        <w:ind w:left="0" w:firstLine="0"/>
        <w:contextualSpacing w:val="0"/>
        <w:rPr>
          <w:caps/>
        </w:rPr>
      </w:pPr>
      <w:bookmarkStart w:id="22" w:name="_Toc72103173"/>
      <w:r w:rsidRPr="0094706F">
        <w:rPr>
          <w:caps/>
        </w:rPr>
        <w:t>PRZEPISY ZWIĄZANE</w:t>
      </w:r>
      <w:bookmarkEnd w:id="22"/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PN-S-02205 Drogi samochodowe. Roboty ziemne. Wymagania i badania.</w:t>
      </w:r>
    </w:p>
    <w:p w:rsidR="0094706F" w:rsidRPr="00EE586A" w:rsidRDefault="0094706F" w:rsidP="0094706F">
      <w:pPr>
        <w:spacing w:before="60" w:line="280" w:lineRule="atLeast"/>
        <w:jc w:val="both"/>
        <w:rPr>
          <w:sz w:val="18"/>
          <w:szCs w:val="18"/>
        </w:rPr>
      </w:pPr>
      <w:r w:rsidRPr="00EE586A">
        <w:rPr>
          <w:sz w:val="18"/>
          <w:szCs w:val="18"/>
        </w:rPr>
        <w:t>Ustawa z dnia 16 kwietnia 2004 r. o ochronie przyrody (Dz.U.2018 poz.1614 z późn. zm.)</w:t>
      </w:r>
    </w:p>
    <w:p w:rsidR="0094706F" w:rsidRPr="00EE586A" w:rsidRDefault="0094706F" w:rsidP="0094706F">
      <w:pPr>
        <w:pStyle w:val="Nagwek1"/>
        <w:keepNext w:val="0"/>
        <w:spacing w:before="60" w:line="280" w:lineRule="atLeast"/>
        <w:jc w:val="both"/>
        <w:rPr>
          <w:rFonts w:ascii="Verdana" w:hAnsi="Verdana"/>
          <w:color w:val="auto"/>
          <w:sz w:val="18"/>
          <w:szCs w:val="18"/>
        </w:rPr>
      </w:pPr>
    </w:p>
    <w:p w:rsidR="000957A7" w:rsidRDefault="000957A7" w:rsidP="0094706F">
      <w:pPr>
        <w:spacing w:before="60" w:line="280" w:lineRule="atLeast"/>
        <w:jc w:val="both"/>
      </w:pPr>
    </w:p>
    <w:sectPr w:rsidR="000957A7" w:rsidSect="00182511">
      <w:headerReference w:type="default" r:id="rId8"/>
      <w:footerReference w:type="default" r:id="rId9"/>
      <w:type w:val="continuous"/>
      <w:pgSz w:w="11916" w:h="16848"/>
      <w:pgMar w:top="1134" w:right="1134" w:bottom="1418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D6" w:rsidRDefault="00BE6CD6" w:rsidP="001C2A30">
      <w:r>
        <w:separator/>
      </w:r>
    </w:p>
  </w:endnote>
  <w:endnote w:type="continuationSeparator" w:id="0">
    <w:p w:rsidR="00BE6CD6" w:rsidRDefault="00BE6CD6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CC66F0" w:rsidRPr="00F022D1" w:rsidTr="008B1B03">
      <w:trPr>
        <w:cantSplit/>
      </w:trPr>
      <w:tc>
        <w:tcPr>
          <w:tcW w:w="9782" w:type="dxa"/>
          <w:vAlign w:val="bottom"/>
        </w:tcPr>
        <w:p w:rsidR="00CC66F0" w:rsidRPr="00412461" w:rsidRDefault="00CC66F0" w:rsidP="00412461">
          <w:pPr>
            <w:ind w:left="1" w:right="1"/>
            <w:jc w:val="center"/>
            <w:rPr>
              <w:rFonts w:eastAsia="Times New Roman" w:cs="Arial"/>
              <w:bCs/>
              <w:iCs/>
              <w:sz w:val="16"/>
              <w:szCs w:val="24"/>
              <w:lang w:eastAsia="pl-PL"/>
            </w:rPr>
          </w:pPr>
        </w:p>
      </w:tc>
    </w:tr>
    <w:tr w:rsidR="00CC66F0" w:rsidRPr="00412461" w:rsidTr="008B1B03">
      <w:trPr>
        <w:cantSplit/>
        <w:trHeight w:val="271"/>
      </w:trPr>
      <w:tc>
        <w:tcPr>
          <w:tcW w:w="9782" w:type="dxa"/>
          <w:vAlign w:val="bottom"/>
        </w:tcPr>
        <w:p w:rsidR="00CC66F0" w:rsidRPr="00412461" w:rsidRDefault="00CC66F0" w:rsidP="00D3684F">
          <w:pPr>
            <w:spacing w:before="240"/>
            <w:jc w:val="center"/>
            <w:rPr>
              <w:rFonts w:eastAsia="Times New Roman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t xml:space="preserve">Strona </w:t>
          </w:r>
          <w:r w:rsidR="00562EF4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instrText>PAGE  \* Arabic  \* MERGEFORMAT</w:instrText>
          </w:r>
          <w:r w:rsidR="00562EF4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separate"/>
          </w:r>
          <w:r w:rsidR="0084175E">
            <w:rPr>
              <w:rFonts w:eastAsia="Times New Roman" w:cs="Arial"/>
              <w:bCs/>
              <w:iCs/>
              <w:noProof/>
              <w:sz w:val="16"/>
              <w:lang w:eastAsia="pl-PL"/>
            </w:rPr>
            <w:t>3</w:t>
          </w:r>
          <w:r w:rsidR="00562EF4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eastAsia="Times New Roman" w:cs="Arial"/>
              <w:bCs/>
              <w:iCs/>
              <w:sz w:val="16"/>
              <w:lang w:eastAsia="pl-PL"/>
            </w:rPr>
            <w:t xml:space="preserve"> z </w:t>
          </w:r>
          <w:r w:rsidR="005A590A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begin"/>
          </w:r>
          <w:r w:rsidR="005A590A">
            <w:rPr>
              <w:rFonts w:eastAsia="Times New Roman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5A590A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84175E">
            <w:rPr>
              <w:rFonts w:eastAsia="Times New Roman" w:cs="Arial"/>
              <w:bCs/>
              <w:iCs/>
              <w:noProof/>
              <w:sz w:val="16"/>
              <w:lang w:eastAsia="pl-PL"/>
            </w:rPr>
            <w:t>7</w:t>
          </w:r>
          <w:r w:rsidR="005A590A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CC66F0" w:rsidRPr="00EE3F3B" w:rsidRDefault="00CC66F0" w:rsidP="006E2BB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D6" w:rsidRDefault="00BE6CD6" w:rsidP="001C2A30">
      <w:r>
        <w:separator/>
      </w:r>
    </w:p>
  </w:footnote>
  <w:footnote w:type="continuationSeparator" w:id="0">
    <w:p w:rsidR="00BE6CD6" w:rsidRDefault="00BE6CD6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4579"/>
    </w:tblGrid>
    <w:tr w:rsidR="00CC66F0" w:rsidRPr="00412461" w:rsidTr="0041547D">
      <w:trPr>
        <w:trHeight w:val="567"/>
      </w:trPr>
      <w:tc>
        <w:tcPr>
          <w:tcW w:w="5168" w:type="dxa"/>
          <w:vAlign w:val="bottom"/>
        </w:tcPr>
        <w:p w:rsidR="00CC66F0" w:rsidRPr="008C130E" w:rsidRDefault="00CC66F0" w:rsidP="009C23CC">
          <w:pPr>
            <w:spacing w:after="60"/>
            <w:jc w:val="both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 w:rsidRPr="008C130E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>STWiORB D.0</w:t>
          </w:r>
          <w:r w:rsidR="009A7B31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>1.02.</w:t>
          </w:r>
          <w:r w:rsidRPr="008C130E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 xml:space="preserve">01 </w:t>
          </w:r>
        </w:p>
      </w:tc>
      <w:tc>
        <w:tcPr>
          <w:tcW w:w="4579" w:type="dxa"/>
          <w:vAlign w:val="bottom"/>
        </w:tcPr>
        <w:p w:rsidR="00CC66F0" w:rsidRPr="008C130E" w:rsidRDefault="009A7B31" w:rsidP="00182511">
          <w:pPr>
            <w:spacing w:after="60"/>
            <w:ind w:right="5"/>
            <w:jc w:val="right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>USUNIĘCIE DRZEW I KRZEWÓW</w:t>
          </w:r>
        </w:p>
      </w:tc>
    </w:tr>
  </w:tbl>
  <w:p w:rsidR="00CC66F0" w:rsidRPr="00412461" w:rsidRDefault="00CC66F0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7C0C"/>
    <w:multiLevelType w:val="multilevel"/>
    <w:tmpl w:val="1F50BC64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1" w15:restartNumberingAfterBreak="0">
    <w:nsid w:val="136B324C"/>
    <w:multiLevelType w:val="hybridMultilevel"/>
    <w:tmpl w:val="B08EC8CC"/>
    <w:lvl w:ilvl="0" w:tplc="59D4A922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8196F56"/>
    <w:multiLevelType w:val="hybridMultilevel"/>
    <w:tmpl w:val="156AECA8"/>
    <w:lvl w:ilvl="0" w:tplc="C7F22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257CB"/>
    <w:multiLevelType w:val="hybridMultilevel"/>
    <w:tmpl w:val="B5EA44FA"/>
    <w:lvl w:ilvl="0" w:tplc="51467A6E">
      <w:start w:val="1"/>
      <w:numFmt w:val="bullet"/>
      <w:lvlText w:val=""/>
      <w:lvlJc w:val="left"/>
      <w:pPr>
        <w:ind w:left="73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13E52C5"/>
    <w:multiLevelType w:val="hybridMultilevel"/>
    <w:tmpl w:val="F446D968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E954E78A">
      <w:numFmt w:val="bullet"/>
      <w:lvlText w:val=""/>
      <w:lvlJc w:val="left"/>
      <w:pPr>
        <w:ind w:left="2291" w:hanging="360"/>
      </w:pPr>
      <w:rPr>
        <w:rFonts w:ascii="Symbol" w:eastAsiaTheme="minorHAnsi" w:hAnsi="Symbol" w:cs="Verdana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B362F"/>
    <w:multiLevelType w:val="hybridMultilevel"/>
    <w:tmpl w:val="AF96C460"/>
    <w:lvl w:ilvl="0" w:tplc="17FEDE9C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51E4E31"/>
    <w:multiLevelType w:val="hybridMultilevel"/>
    <w:tmpl w:val="D43CB8F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5527D5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9" w15:restartNumberingAfterBreak="0">
    <w:nsid w:val="49E0675D"/>
    <w:multiLevelType w:val="hybridMultilevel"/>
    <w:tmpl w:val="5D46DD7E"/>
    <w:lvl w:ilvl="0" w:tplc="9F864F0A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5207D"/>
    <w:multiLevelType w:val="hybridMultilevel"/>
    <w:tmpl w:val="1366B2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60E2E7E"/>
    <w:multiLevelType w:val="hybridMultilevel"/>
    <w:tmpl w:val="826621AC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07E14"/>
    <w:multiLevelType w:val="hybridMultilevel"/>
    <w:tmpl w:val="3A5AF8D8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DD717B1"/>
    <w:multiLevelType w:val="hybridMultilevel"/>
    <w:tmpl w:val="AF96C460"/>
    <w:lvl w:ilvl="0" w:tplc="17FEDE9C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E980C39"/>
    <w:multiLevelType w:val="hybridMultilevel"/>
    <w:tmpl w:val="0B54EE1C"/>
    <w:lvl w:ilvl="0" w:tplc="0FFC9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E514F3E"/>
    <w:multiLevelType w:val="hybridMultilevel"/>
    <w:tmpl w:val="73A88F22"/>
    <w:lvl w:ilvl="0" w:tplc="41E455DA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3"/>
  </w:num>
  <w:num w:numId="10">
    <w:abstractNumId w:val="14"/>
  </w:num>
  <w:num w:numId="11">
    <w:abstractNumId w:val="13"/>
  </w:num>
  <w:num w:numId="12">
    <w:abstractNumId w:val="11"/>
  </w:num>
  <w:num w:numId="13">
    <w:abstractNumId w:val="4"/>
  </w:num>
  <w:num w:numId="14">
    <w:abstractNumId w:val="15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2"/>
  </w:num>
  <w:num w:numId="32">
    <w:abstractNumId w:val="9"/>
  </w:num>
  <w:num w:numId="3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06FFB"/>
    <w:rsid w:val="00020722"/>
    <w:rsid w:val="00026E3E"/>
    <w:rsid w:val="00037231"/>
    <w:rsid w:val="000455DB"/>
    <w:rsid w:val="00045EFB"/>
    <w:rsid w:val="00056584"/>
    <w:rsid w:val="00064312"/>
    <w:rsid w:val="000829E4"/>
    <w:rsid w:val="00082E3D"/>
    <w:rsid w:val="00084CFE"/>
    <w:rsid w:val="000957A7"/>
    <w:rsid w:val="00095B26"/>
    <w:rsid w:val="000A6DFB"/>
    <w:rsid w:val="000C5CCB"/>
    <w:rsid w:val="000C60A5"/>
    <w:rsid w:val="000C65FF"/>
    <w:rsid w:val="000D2F79"/>
    <w:rsid w:val="000E1575"/>
    <w:rsid w:val="000E4AE9"/>
    <w:rsid w:val="000F08ED"/>
    <w:rsid w:val="000F23A4"/>
    <w:rsid w:val="0010772C"/>
    <w:rsid w:val="001112C9"/>
    <w:rsid w:val="00114AEC"/>
    <w:rsid w:val="00122FA9"/>
    <w:rsid w:val="00123076"/>
    <w:rsid w:val="00123E16"/>
    <w:rsid w:val="001352CB"/>
    <w:rsid w:val="0014755B"/>
    <w:rsid w:val="001543D4"/>
    <w:rsid w:val="0017147B"/>
    <w:rsid w:val="0017468C"/>
    <w:rsid w:val="00174A18"/>
    <w:rsid w:val="00182511"/>
    <w:rsid w:val="00187A64"/>
    <w:rsid w:val="0019406D"/>
    <w:rsid w:val="001C2A30"/>
    <w:rsid w:val="001E056F"/>
    <w:rsid w:val="001E0DD7"/>
    <w:rsid w:val="001E3E64"/>
    <w:rsid w:val="001E520D"/>
    <w:rsid w:val="001F2BAE"/>
    <w:rsid w:val="001F47E1"/>
    <w:rsid w:val="00202652"/>
    <w:rsid w:val="002032F6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20C1F"/>
    <w:rsid w:val="003818E8"/>
    <w:rsid w:val="00391471"/>
    <w:rsid w:val="00391910"/>
    <w:rsid w:val="003977E7"/>
    <w:rsid w:val="003B2493"/>
    <w:rsid w:val="003B4DED"/>
    <w:rsid w:val="003B7070"/>
    <w:rsid w:val="003D6198"/>
    <w:rsid w:val="003D7617"/>
    <w:rsid w:val="003E1A3E"/>
    <w:rsid w:val="003F5165"/>
    <w:rsid w:val="00412461"/>
    <w:rsid w:val="0041547D"/>
    <w:rsid w:val="00422D9D"/>
    <w:rsid w:val="00424DBA"/>
    <w:rsid w:val="00450720"/>
    <w:rsid w:val="00451AC7"/>
    <w:rsid w:val="00461EB0"/>
    <w:rsid w:val="00462D82"/>
    <w:rsid w:val="00482584"/>
    <w:rsid w:val="0048268A"/>
    <w:rsid w:val="004949A7"/>
    <w:rsid w:val="00494DA0"/>
    <w:rsid w:val="004A0786"/>
    <w:rsid w:val="004A4F1E"/>
    <w:rsid w:val="004D5710"/>
    <w:rsid w:val="004D7FD2"/>
    <w:rsid w:val="004E0762"/>
    <w:rsid w:val="004E2703"/>
    <w:rsid w:val="004F083B"/>
    <w:rsid w:val="004F4D02"/>
    <w:rsid w:val="005047A8"/>
    <w:rsid w:val="005137A6"/>
    <w:rsid w:val="00516B4A"/>
    <w:rsid w:val="00531DE1"/>
    <w:rsid w:val="0054060D"/>
    <w:rsid w:val="00552DD2"/>
    <w:rsid w:val="00562EF4"/>
    <w:rsid w:val="0056576D"/>
    <w:rsid w:val="00581574"/>
    <w:rsid w:val="00582483"/>
    <w:rsid w:val="005A5147"/>
    <w:rsid w:val="005A590A"/>
    <w:rsid w:val="005B7C0E"/>
    <w:rsid w:val="005E17B8"/>
    <w:rsid w:val="005E28FD"/>
    <w:rsid w:val="005E69DA"/>
    <w:rsid w:val="005F2389"/>
    <w:rsid w:val="005F3CC1"/>
    <w:rsid w:val="005F7356"/>
    <w:rsid w:val="00601C31"/>
    <w:rsid w:val="00604C68"/>
    <w:rsid w:val="00620ABE"/>
    <w:rsid w:val="00621D09"/>
    <w:rsid w:val="006234AA"/>
    <w:rsid w:val="006258A5"/>
    <w:rsid w:val="0063359D"/>
    <w:rsid w:val="0064002C"/>
    <w:rsid w:val="00640601"/>
    <w:rsid w:val="00640FF3"/>
    <w:rsid w:val="00646090"/>
    <w:rsid w:val="006807BC"/>
    <w:rsid w:val="00693A66"/>
    <w:rsid w:val="00693A75"/>
    <w:rsid w:val="0069428A"/>
    <w:rsid w:val="00694715"/>
    <w:rsid w:val="006961BA"/>
    <w:rsid w:val="00696CD1"/>
    <w:rsid w:val="006A5964"/>
    <w:rsid w:val="006B0DB3"/>
    <w:rsid w:val="006B7AE4"/>
    <w:rsid w:val="006C11A8"/>
    <w:rsid w:val="006E2BB1"/>
    <w:rsid w:val="006E50A3"/>
    <w:rsid w:val="006E749E"/>
    <w:rsid w:val="0070219A"/>
    <w:rsid w:val="007146F9"/>
    <w:rsid w:val="00726137"/>
    <w:rsid w:val="00731F3B"/>
    <w:rsid w:val="00733B68"/>
    <w:rsid w:val="00737711"/>
    <w:rsid w:val="00742EA3"/>
    <w:rsid w:val="00750403"/>
    <w:rsid w:val="007754C3"/>
    <w:rsid w:val="00791A21"/>
    <w:rsid w:val="007A2440"/>
    <w:rsid w:val="007A307A"/>
    <w:rsid w:val="007A581B"/>
    <w:rsid w:val="007B7B6F"/>
    <w:rsid w:val="007E5E9B"/>
    <w:rsid w:val="00805F57"/>
    <w:rsid w:val="00806A35"/>
    <w:rsid w:val="00807994"/>
    <w:rsid w:val="00817120"/>
    <w:rsid w:val="00820D3C"/>
    <w:rsid w:val="0084175E"/>
    <w:rsid w:val="0084237B"/>
    <w:rsid w:val="00842ED9"/>
    <w:rsid w:val="00850595"/>
    <w:rsid w:val="00864849"/>
    <w:rsid w:val="00876494"/>
    <w:rsid w:val="008906AB"/>
    <w:rsid w:val="00891414"/>
    <w:rsid w:val="008B1B03"/>
    <w:rsid w:val="008C130E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32F71"/>
    <w:rsid w:val="00933114"/>
    <w:rsid w:val="00933FE5"/>
    <w:rsid w:val="009352A3"/>
    <w:rsid w:val="0094706F"/>
    <w:rsid w:val="00967F86"/>
    <w:rsid w:val="0097422E"/>
    <w:rsid w:val="00974D34"/>
    <w:rsid w:val="0098685F"/>
    <w:rsid w:val="009904D6"/>
    <w:rsid w:val="009941EA"/>
    <w:rsid w:val="009A7B31"/>
    <w:rsid w:val="009B27AC"/>
    <w:rsid w:val="009B7EC2"/>
    <w:rsid w:val="009C23CC"/>
    <w:rsid w:val="009C609F"/>
    <w:rsid w:val="009D24E3"/>
    <w:rsid w:val="009D3AD0"/>
    <w:rsid w:val="009D5D77"/>
    <w:rsid w:val="009E369D"/>
    <w:rsid w:val="009E4AB8"/>
    <w:rsid w:val="009F45DF"/>
    <w:rsid w:val="00A011D4"/>
    <w:rsid w:val="00A048FD"/>
    <w:rsid w:val="00A06216"/>
    <w:rsid w:val="00A5699B"/>
    <w:rsid w:val="00A57398"/>
    <w:rsid w:val="00A84130"/>
    <w:rsid w:val="00A8780D"/>
    <w:rsid w:val="00AA0190"/>
    <w:rsid w:val="00AB3BE8"/>
    <w:rsid w:val="00AB64C0"/>
    <w:rsid w:val="00AF0955"/>
    <w:rsid w:val="00AF2C69"/>
    <w:rsid w:val="00AF5AA5"/>
    <w:rsid w:val="00AF6BC9"/>
    <w:rsid w:val="00B11DA2"/>
    <w:rsid w:val="00B124FE"/>
    <w:rsid w:val="00B20351"/>
    <w:rsid w:val="00B22597"/>
    <w:rsid w:val="00B30343"/>
    <w:rsid w:val="00B33BF6"/>
    <w:rsid w:val="00B37B69"/>
    <w:rsid w:val="00B509BD"/>
    <w:rsid w:val="00B55D74"/>
    <w:rsid w:val="00B66918"/>
    <w:rsid w:val="00BA68EB"/>
    <w:rsid w:val="00BB0ED5"/>
    <w:rsid w:val="00BC3FD8"/>
    <w:rsid w:val="00BD3403"/>
    <w:rsid w:val="00BD421B"/>
    <w:rsid w:val="00BE316F"/>
    <w:rsid w:val="00BE6CD6"/>
    <w:rsid w:val="00BF281E"/>
    <w:rsid w:val="00C13270"/>
    <w:rsid w:val="00C1659A"/>
    <w:rsid w:val="00C227CB"/>
    <w:rsid w:val="00C34F74"/>
    <w:rsid w:val="00C3504A"/>
    <w:rsid w:val="00C35254"/>
    <w:rsid w:val="00C41588"/>
    <w:rsid w:val="00C60B0C"/>
    <w:rsid w:val="00C61070"/>
    <w:rsid w:val="00C735CB"/>
    <w:rsid w:val="00C84982"/>
    <w:rsid w:val="00CA3B24"/>
    <w:rsid w:val="00CB318C"/>
    <w:rsid w:val="00CB7E16"/>
    <w:rsid w:val="00CC0752"/>
    <w:rsid w:val="00CC66F0"/>
    <w:rsid w:val="00CD125C"/>
    <w:rsid w:val="00CD151F"/>
    <w:rsid w:val="00CF0EC5"/>
    <w:rsid w:val="00D22EFA"/>
    <w:rsid w:val="00D278DF"/>
    <w:rsid w:val="00D3684F"/>
    <w:rsid w:val="00D634A3"/>
    <w:rsid w:val="00D83BBB"/>
    <w:rsid w:val="00D91E84"/>
    <w:rsid w:val="00D956B8"/>
    <w:rsid w:val="00DA26FA"/>
    <w:rsid w:val="00DB1EA8"/>
    <w:rsid w:val="00DC07B0"/>
    <w:rsid w:val="00DE2E2C"/>
    <w:rsid w:val="00DE7D9B"/>
    <w:rsid w:val="00E1463C"/>
    <w:rsid w:val="00E14A80"/>
    <w:rsid w:val="00E14E62"/>
    <w:rsid w:val="00E23853"/>
    <w:rsid w:val="00E36107"/>
    <w:rsid w:val="00E4251A"/>
    <w:rsid w:val="00E44B92"/>
    <w:rsid w:val="00E53A78"/>
    <w:rsid w:val="00E61BB6"/>
    <w:rsid w:val="00E7230B"/>
    <w:rsid w:val="00EB16D2"/>
    <w:rsid w:val="00EB2D5A"/>
    <w:rsid w:val="00EC14EA"/>
    <w:rsid w:val="00EC31FA"/>
    <w:rsid w:val="00EE3F3B"/>
    <w:rsid w:val="00F022D1"/>
    <w:rsid w:val="00F06919"/>
    <w:rsid w:val="00F1019A"/>
    <w:rsid w:val="00F10954"/>
    <w:rsid w:val="00F15317"/>
    <w:rsid w:val="00F265EF"/>
    <w:rsid w:val="00F314AC"/>
    <w:rsid w:val="00F520D6"/>
    <w:rsid w:val="00F521E2"/>
    <w:rsid w:val="00F561C5"/>
    <w:rsid w:val="00F564E8"/>
    <w:rsid w:val="00F73A89"/>
    <w:rsid w:val="00F77C89"/>
    <w:rsid w:val="00F903B0"/>
    <w:rsid w:val="00F9703A"/>
    <w:rsid w:val="00FB09AD"/>
    <w:rsid w:val="00FB0FF7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733C5E-7DC9-4E01-A187-F7983C23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022D1"/>
    <w:pPr>
      <w:autoSpaceDE w:val="0"/>
      <w:autoSpaceDN w:val="0"/>
    </w:pPr>
    <w:rPr>
      <w:rFonts w:ascii="Verdana" w:eastAsia="Verdana" w:hAnsi="Verdana" w:cs="Verdana"/>
      <w:lang w:val="pl-PL"/>
    </w:rPr>
  </w:style>
  <w:style w:type="paragraph" w:styleId="Nagwek1">
    <w:name w:val="heading 1"/>
    <w:aliases w:val="Title 1,STWIORB NAGŁÓWEK"/>
    <w:basedOn w:val="Normalny"/>
    <w:next w:val="Normalny"/>
    <w:link w:val="Nagwek1Znak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table" w:customStyle="1" w:styleId="TableNormal">
    <w:name w:val="Table Normal"/>
    <w:uiPriority w:val="2"/>
    <w:semiHidden/>
    <w:unhideWhenUsed/>
    <w:qFormat/>
    <w:rsid w:val="00562E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34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eastAsiaTheme="minorEastAsia"/>
      <w:sz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eastAsiaTheme="minorEastAsia"/>
      <w:sz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eastAsiaTheme="minorEastAsia"/>
      <w:sz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eastAsiaTheme="minorEastAsia"/>
      <w:sz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eastAsiaTheme="minorEastAsia"/>
      <w:sz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eastAsiaTheme="minorEastAsia"/>
      <w:sz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2CCF-B2CA-4C17-A11F-C8C020F7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2532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7</cp:revision>
  <cp:lastPrinted>2021-01-18T12:32:00Z</cp:lastPrinted>
  <dcterms:created xsi:type="dcterms:W3CDTF">2021-11-08T14:03:00Z</dcterms:created>
  <dcterms:modified xsi:type="dcterms:W3CDTF">2022-11-02T14:28:00Z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