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C24" w:rsidRPr="00770D48" w:rsidRDefault="00924C24" w:rsidP="00075A0D">
      <w:pPr>
        <w:jc w:val="both"/>
        <w:rPr>
          <w:rFonts w:ascii="Times New Roman" w:hAnsi="Times New Roman"/>
          <w:sz w:val="24"/>
          <w:szCs w:val="24"/>
          <w:lang w:val="pl-PL"/>
        </w:rPr>
      </w:pPr>
      <w:bookmarkStart w:id="0" w:name="_GoBack"/>
      <w:bookmarkEnd w:id="0"/>
    </w:p>
    <w:p w:rsidR="00924C24" w:rsidRPr="00770D48" w:rsidRDefault="00924C24" w:rsidP="00075A0D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:rsidR="00924C24" w:rsidRPr="00770D48" w:rsidRDefault="00924C24" w:rsidP="00075A0D">
      <w:pPr>
        <w:spacing w:after="168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1C109F" w:rsidRPr="00770D48" w:rsidRDefault="001C109F" w:rsidP="001C109F">
      <w:pPr>
        <w:spacing w:before="60" w:after="60"/>
        <w:jc w:val="center"/>
        <w:rPr>
          <w:rFonts w:ascii="Times New Roman" w:hAnsi="Times New Roman" w:cs="Times New Roman"/>
          <w:color w:val="010302"/>
          <w:sz w:val="18"/>
          <w:szCs w:val="18"/>
          <w:lang w:val="pl-PL"/>
        </w:rPr>
      </w:pPr>
      <w:r w:rsidRPr="00770D48">
        <w:rPr>
          <w:rFonts w:ascii="Verdana" w:hAnsi="Verdana" w:cs="Verdana"/>
          <w:color w:val="000000"/>
          <w:sz w:val="18"/>
          <w:szCs w:val="18"/>
          <w:lang w:val="pl-PL"/>
        </w:rPr>
        <w:t>SPECYFIKACJA TECHNICZNA  WYKONAN</w:t>
      </w:r>
      <w:r w:rsidRPr="00770D48">
        <w:rPr>
          <w:rFonts w:ascii="Verdana" w:hAnsi="Verdana" w:cs="Verdana"/>
          <w:color w:val="000000"/>
          <w:spacing w:val="-2"/>
          <w:sz w:val="18"/>
          <w:szCs w:val="18"/>
          <w:lang w:val="pl-PL"/>
        </w:rPr>
        <w:t>I</w:t>
      </w:r>
      <w:r w:rsidRPr="00770D48">
        <w:rPr>
          <w:rFonts w:ascii="Verdana" w:hAnsi="Verdana" w:cs="Verdana"/>
          <w:color w:val="000000"/>
          <w:sz w:val="18"/>
          <w:szCs w:val="18"/>
          <w:lang w:val="pl-PL"/>
        </w:rPr>
        <w:t xml:space="preserve">A </w:t>
      </w:r>
      <w:r w:rsidRPr="00770D48">
        <w:rPr>
          <w:rFonts w:ascii="Verdana" w:hAnsi="Verdana" w:cs="Verdana"/>
          <w:color w:val="000000"/>
          <w:spacing w:val="-2"/>
          <w:sz w:val="18"/>
          <w:szCs w:val="18"/>
          <w:lang w:val="pl-PL"/>
        </w:rPr>
        <w:t>I</w:t>
      </w:r>
      <w:r w:rsidRPr="00770D48">
        <w:rPr>
          <w:rFonts w:ascii="Verdana" w:hAnsi="Verdana" w:cs="Verdana"/>
          <w:color w:val="000000"/>
          <w:sz w:val="18"/>
          <w:szCs w:val="18"/>
          <w:lang w:val="pl-PL"/>
        </w:rPr>
        <w:t xml:space="preserve"> ODBIORU ROBÓT BUDOWLANYCH</w:t>
      </w:r>
    </w:p>
    <w:p w:rsidR="001C109F" w:rsidRPr="00770D48" w:rsidRDefault="001C109F" w:rsidP="001C109F">
      <w:pPr>
        <w:spacing w:before="60" w:after="60"/>
        <w:rPr>
          <w:rFonts w:ascii="Times New Roman" w:hAnsi="Times New Roman"/>
          <w:color w:val="000000" w:themeColor="text1"/>
          <w:sz w:val="18"/>
          <w:szCs w:val="18"/>
          <w:lang w:val="pl-PL"/>
        </w:rPr>
      </w:pPr>
    </w:p>
    <w:p w:rsidR="001C109F" w:rsidRPr="00770D48" w:rsidRDefault="001C109F" w:rsidP="001C109F">
      <w:pPr>
        <w:spacing w:before="60" w:after="60"/>
        <w:rPr>
          <w:rFonts w:ascii="Times New Roman" w:hAnsi="Times New Roman"/>
          <w:color w:val="000000" w:themeColor="text1"/>
          <w:sz w:val="18"/>
          <w:szCs w:val="18"/>
          <w:lang w:val="pl-PL"/>
        </w:rPr>
      </w:pPr>
    </w:p>
    <w:p w:rsidR="001C109F" w:rsidRPr="00770D48" w:rsidRDefault="001C109F" w:rsidP="001C109F">
      <w:pPr>
        <w:spacing w:before="60" w:after="60"/>
        <w:rPr>
          <w:rFonts w:ascii="Times New Roman" w:hAnsi="Times New Roman"/>
          <w:color w:val="000000" w:themeColor="text1"/>
          <w:sz w:val="18"/>
          <w:szCs w:val="18"/>
          <w:lang w:val="pl-PL"/>
        </w:rPr>
      </w:pPr>
    </w:p>
    <w:p w:rsidR="001C109F" w:rsidRPr="00770D48" w:rsidRDefault="001C109F" w:rsidP="001C109F">
      <w:pPr>
        <w:spacing w:before="60" w:after="60"/>
        <w:ind w:right="67"/>
        <w:jc w:val="center"/>
        <w:rPr>
          <w:rFonts w:ascii="Verdana-Bold" w:hAnsi="Verdana-Bold" w:cs="Verdana-Bold"/>
          <w:b/>
          <w:bCs/>
          <w:color w:val="000000"/>
          <w:sz w:val="18"/>
          <w:szCs w:val="18"/>
          <w:lang w:val="pl-PL"/>
        </w:rPr>
      </w:pPr>
      <w:r w:rsidRPr="00770D48">
        <w:rPr>
          <w:rFonts w:ascii="Verdana-Bold" w:hAnsi="Verdana-Bold" w:cs="Verdana-Bold"/>
          <w:b/>
          <w:bCs/>
          <w:color w:val="000000"/>
          <w:sz w:val="18"/>
          <w:szCs w:val="18"/>
          <w:lang w:val="pl-PL"/>
        </w:rPr>
        <w:t>D-</w:t>
      </w:r>
      <w:r w:rsidR="00C21218" w:rsidRPr="00770D48">
        <w:rPr>
          <w:rFonts w:ascii="Verdana-Bold" w:hAnsi="Verdana-Bold" w:cs="Verdana-Bold"/>
          <w:b/>
          <w:bCs/>
          <w:color w:val="000000"/>
          <w:sz w:val="18"/>
          <w:szCs w:val="18"/>
          <w:lang w:val="pl-PL"/>
        </w:rPr>
        <w:t>07.01</w:t>
      </w:r>
      <w:r w:rsidRPr="00770D48">
        <w:rPr>
          <w:rFonts w:ascii="Verdana-Bold" w:hAnsi="Verdana-Bold" w:cs="Verdana-Bold"/>
          <w:b/>
          <w:bCs/>
          <w:color w:val="000000"/>
          <w:sz w:val="18"/>
          <w:szCs w:val="18"/>
          <w:lang w:val="pl-PL"/>
        </w:rPr>
        <w:t>.01</w:t>
      </w:r>
    </w:p>
    <w:p w:rsidR="001C109F" w:rsidRPr="00770D48" w:rsidRDefault="001C109F" w:rsidP="001C109F">
      <w:pPr>
        <w:spacing w:before="60" w:after="60"/>
        <w:ind w:left="5298" w:right="4611" w:hanging="422"/>
        <w:rPr>
          <w:rFonts w:ascii="Arial" w:hAnsi="Arial" w:cs="Arial"/>
          <w:color w:val="010302"/>
          <w:sz w:val="18"/>
          <w:szCs w:val="18"/>
          <w:lang w:val="pl-PL"/>
        </w:rPr>
      </w:pPr>
      <w:r w:rsidRPr="00770D48">
        <w:rPr>
          <w:sz w:val="18"/>
          <w:szCs w:val="18"/>
          <w:lang w:val="pl-PL"/>
        </w:rPr>
        <w:br w:type="textWrapping" w:clear="all"/>
      </w:r>
    </w:p>
    <w:p w:rsidR="001C109F" w:rsidRPr="00770D48" w:rsidRDefault="00C21218" w:rsidP="00AE10EB">
      <w:pPr>
        <w:jc w:val="center"/>
        <w:rPr>
          <w:rFonts w:ascii="Verdana-Bold" w:hAnsi="Verdana-Bold" w:cs="Verdana-Bold"/>
          <w:b/>
          <w:bCs/>
          <w:color w:val="000000"/>
          <w:sz w:val="18"/>
          <w:szCs w:val="18"/>
          <w:lang w:val="pl-PL"/>
        </w:rPr>
      </w:pPr>
      <w:r w:rsidRPr="00770D48">
        <w:rPr>
          <w:rFonts w:ascii="Verdana-Bold" w:hAnsi="Verdana-Bold" w:cs="Verdana-Bold"/>
          <w:b/>
          <w:bCs/>
          <w:color w:val="000000"/>
          <w:sz w:val="18"/>
          <w:szCs w:val="18"/>
          <w:lang w:val="pl-PL"/>
        </w:rPr>
        <w:t>OZNAKOWANIE POZIOME</w:t>
      </w:r>
    </w:p>
    <w:p w:rsidR="001C109F" w:rsidRPr="00770D48" w:rsidRDefault="001C109F" w:rsidP="001C109F">
      <w:pPr>
        <w:ind w:left="3121"/>
        <w:jc w:val="both"/>
        <w:rPr>
          <w:rFonts w:ascii="Verdana-Bold" w:hAnsi="Verdana-Bold" w:cs="Verdana-Bold"/>
          <w:b/>
          <w:bCs/>
          <w:color w:val="000000"/>
          <w:sz w:val="18"/>
          <w:szCs w:val="18"/>
          <w:lang w:val="pl-PL"/>
        </w:rPr>
      </w:pPr>
    </w:p>
    <w:p w:rsidR="001C109F" w:rsidRPr="00770D48" w:rsidRDefault="001C109F" w:rsidP="001C109F">
      <w:pPr>
        <w:ind w:left="3121"/>
        <w:jc w:val="both"/>
        <w:rPr>
          <w:lang w:val="pl-PL"/>
        </w:rPr>
      </w:pPr>
    </w:p>
    <w:p w:rsidR="00802F72" w:rsidRPr="00B03C00" w:rsidRDefault="00802F72" w:rsidP="00B03C00">
      <w:pPr>
        <w:rPr>
          <w:lang w:val="pl-PL"/>
        </w:rPr>
      </w:pPr>
      <w:r w:rsidRPr="00770D48">
        <w:rPr>
          <w:rFonts w:ascii="Verdana" w:hAnsi="Verdana" w:cs="Verdana"/>
          <w:sz w:val="20"/>
          <w:szCs w:val="20"/>
          <w:lang w:val="pl-PL"/>
        </w:rPr>
        <w:br w:type="page"/>
      </w:r>
    </w:p>
    <w:p w:rsidR="00BA1B7A" w:rsidRPr="00770D48" w:rsidRDefault="00BA1B7A" w:rsidP="00A90DA2">
      <w:pPr>
        <w:pStyle w:val="Nagwek1"/>
        <w:keepNext w:val="0"/>
        <w:spacing w:before="240"/>
        <w:ind w:left="1418" w:right="208" w:hanging="567"/>
        <w:jc w:val="both"/>
        <w:rPr>
          <w:rFonts w:ascii="Verdana" w:hAnsi="Verdana"/>
          <w:color w:val="auto"/>
          <w:sz w:val="18"/>
          <w:szCs w:val="18"/>
          <w:lang w:val="pl-PL"/>
        </w:rPr>
      </w:pPr>
      <w:bookmarkStart w:id="1" w:name="_Toc75167465"/>
      <w:r w:rsidRPr="00770D48">
        <w:rPr>
          <w:rFonts w:ascii="Verdana" w:hAnsi="Verdana"/>
          <w:color w:val="auto"/>
          <w:sz w:val="18"/>
          <w:szCs w:val="18"/>
          <w:lang w:val="pl-PL"/>
        </w:rPr>
        <w:lastRenderedPageBreak/>
        <w:t>Wstęp</w:t>
      </w:r>
      <w:bookmarkEnd w:id="1"/>
    </w:p>
    <w:p w:rsidR="00BA1B7A" w:rsidRPr="00770D48" w:rsidRDefault="00BA1B7A" w:rsidP="00A90DA2">
      <w:pPr>
        <w:pStyle w:val="Nagwek2"/>
        <w:keepNext w:val="0"/>
        <w:ind w:left="1418" w:right="208" w:hanging="567"/>
        <w:jc w:val="both"/>
        <w:rPr>
          <w:lang w:val="pl-PL"/>
        </w:rPr>
      </w:pPr>
      <w:bookmarkStart w:id="2" w:name="_Toc75167466"/>
      <w:r w:rsidRPr="00770D48">
        <w:rPr>
          <w:lang w:val="pl-PL"/>
        </w:rPr>
        <w:t>Nazwa zadania</w:t>
      </w:r>
      <w:bookmarkEnd w:id="2"/>
    </w:p>
    <w:p w:rsidR="00DF7517" w:rsidRPr="00DF7517" w:rsidRDefault="00DF7517" w:rsidP="00DF7517">
      <w:pPr>
        <w:pStyle w:val="Nagwek2"/>
        <w:numPr>
          <w:ilvl w:val="0"/>
          <w:numId w:val="0"/>
        </w:numPr>
        <w:spacing w:before="60" w:line="280" w:lineRule="atLeast"/>
        <w:ind w:left="851"/>
        <w:rPr>
          <w:rFonts w:eastAsiaTheme="minorHAnsi" w:cs="Verdana"/>
          <w:b w:val="0"/>
          <w:szCs w:val="18"/>
          <w:lang w:val="pl-PL"/>
        </w:rPr>
      </w:pPr>
      <w:bookmarkStart w:id="3" w:name="_Toc75167467"/>
      <w:r w:rsidRPr="00DF7517">
        <w:rPr>
          <w:rFonts w:eastAsiaTheme="minorHAnsi" w:cs="Verdana"/>
          <w:b w:val="0"/>
          <w:szCs w:val="18"/>
          <w:lang w:val="pl-PL"/>
        </w:rPr>
        <w:t>„Budowa skrzyżowania bezkolizyjnego drogi powiatowej 1181K Pogwizdów – Tunel z linią kolejową LHS nr 65 w m. Uniejów Rędziny wraz z przebudową dojazdów w zamian za likwidację przejazdu kolejowo – drogowego kat. D w km 337,244 linii kolejowej LHS nr 65”.</w:t>
      </w:r>
    </w:p>
    <w:p w:rsidR="00BA1B7A" w:rsidRPr="00770D48" w:rsidRDefault="00BA1B7A" w:rsidP="00A90DA2">
      <w:pPr>
        <w:pStyle w:val="Nagwek2"/>
        <w:keepNext w:val="0"/>
        <w:ind w:left="1418" w:right="208" w:hanging="567"/>
        <w:jc w:val="both"/>
        <w:rPr>
          <w:lang w:val="pl-PL"/>
        </w:rPr>
      </w:pPr>
      <w:r w:rsidRPr="00770D48">
        <w:rPr>
          <w:lang w:val="pl-PL"/>
        </w:rPr>
        <w:t>Przedmiot STWiORB</w:t>
      </w:r>
      <w:bookmarkEnd w:id="3"/>
    </w:p>
    <w:p w:rsidR="00BA1B7A" w:rsidRPr="00770D48" w:rsidRDefault="00BA1B7A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Przedmiotem niniejszej Szczegółowej Specyfikacji Technicznej Wykonania i Odbioru Robót Budowlanych są wymagania dotyczące wykonania i odbioru Robót budowlanych w ramach realizacji zadania zgodnie z pkt 1.1.</w:t>
      </w:r>
    </w:p>
    <w:p w:rsidR="00BA1B7A" w:rsidRPr="00770D48" w:rsidRDefault="00BA1B7A" w:rsidP="00A90DA2">
      <w:pPr>
        <w:pStyle w:val="Nagwek2"/>
        <w:keepNext w:val="0"/>
        <w:tabs>
          <w:tab w:val="num" w:pos="680"/>
        </w:tabs>
        <w:ind w:left="1418" w:right="208" w:hanging="567"/>
        <w:jc w:val="both"/>
        <w:rPr>
          <w:lang w:val="pl-PL"/>
        </w:rPr>
      </w:pPr>
      <w:bookmarkStart w:id="4" w:name="_Toc75167468"/>
      <w:r w:rsidRPr="00770D48">
        <w:rPr>
          <w:lang w:val="pl-PL"/>
        </w:rPr>
        <w:t>Zakres Robót objętych STWiORB</w:t>
      </w:r>
      <w:bookmarkEnd w:id="4"/>
    </w:p>
    <w:p w:rsidR="00BA1B7A" w:rsidRPr="00770D48" w:rsidRDefault="00BA1B7A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STWiORB jest stosowana jako Dokument Kontraktowy przy realizacji robót</w:t>
      </w:r>
      <w:r w:rsidR="00C21218" w:rsidRPr="00770D48">
        <w:rPr>
          <w:rFonts w:ascii="Verdana" w:hAnsi="Verdana" w:cs="Verdana"/>
          <w:sz w:val="18"/>
          <w:szCs w:val="18"/>
          <w:lang w:val="pl-PL"/>
        </w:rPr>
        <w:t xml:space="preserve"> związanych z wykonaniem oznakowania poziomego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.   </w:t>
      </w:r>
    </w:p>
    <w:p w:rsidR="00E1772B" w:rsidRPr="001F2F8F" w:rsidRDefault="00E1772B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1F2F8F">
        <w:rPr>
          <w:rFonts w:ascii="Verdana" w:hAnsi="Verdana" w:cs="Verdana"/>
          <w:sz w:val="18"/>
          <w:szCs w:val="18"/>
          <w:lang w:val="pl-PL"/>
        </w:rPr>
        <w:t xml:space="preserve">Ustalenia zawarte w niniejszych STWiORB dotyczą </w:t>
      </w:r>
      <w:r w:rsidR="00C21218" w:rsidRPr="001F2F8F">
        <w:rPr>
          <w:rFonts w:ascii="Verdana" w:hAnsi="Verdana" w:cs="Verdana"/>
          <w:sz w:val="18"/>
          <w:szCs w:val="18"/>
          <w:lang w:val="pl-PL"/>
        </w:rPr>
        <w:t xml:space="preserve">zasad prowadzenia robót związanych z wykonaniem </w:t>
      </w:r>
      <w:r w:rsidR="00DB2065" w:rsidRPr="001F2F8F">
        <w:rPr>
          <w:rFonts w:ascii="Verdana" w:hAnsi="Verdana" w:cs="Verdana"/>
          <w:sz w:val="18"/>
          <w:szCs w:val="18"/>
          <w:lang w:val="pl-PL"/>
        </w:rPr>
        <w:t xml:space="preserve">i odbiorem </w:t>
      </w:r>
      <w:r w:rsidR="00C21218" w:rsidRPr="001F2F8F">
        <w:rPr>
          <w:rFonts w:ascii="Verdana" w:hAnsi="Verdana" w:cs="Verdana"/>
          <w:sz w:val="18"/>
          <w:szCs w:val="18"/>
          <w:lang w:val="pl-PL"/>
        </w:rPr>
        <w:t xml:space="preserve">oznakowania poziomego stałego białego, które </w:t>
      </w:r>
      <w:r w:rsidR="006C79F6" w:rsidRPr="001F2F8F">
        <w:rPr>
          <w:rFonts w:ascii="Verdana" w:hAnsi="Verdana" w:cs="Verdana"/>
          <w:sz w:val="18"/>
          <w:szCs w:val="18"/>
          <w:lang w:val="pl-PL"/>
        </w:rPr>
        <w:t>obejmuje</w:t>
      </w:r>
      <w:r w:rsidR="00C21218" w:rsidRPr="001F2F8F">
        <w:rPr>
          <w:rFonts w:ascii="Verdana" w:hAnsi="Verdana" w:cs="Verdana"/>
          <w:sz w:val="18"/>
          <w:szCs w:val="18"/>
          <w:lang w:val="pl-PL"/>
        </w:rPr>
        <w:t>:</w:t>
      </w:r>
    </w:p>
    <w:p w:rsidR="006C79F6" w:rsidRPr="001F2F8F" w:rsidRDefault="006C79F6" w:rsidP="00A90DA2">
      <w:pPr>
        <w:pStyle w:val="Akapitzlist"/>
        <w:numPr>
          <w:ilvl w:val="0"/>
          <w:numId w:val="4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1F2F8F">
        <w:rPr>
          <w:rFonts w:ascii="Verdana" w:hAnsi="Verdana" w:cs="Verdana"/>
          <w:sz w:val="18"/>
          <w:szCs w:val="18"/>
          <w:lang w:val="pl-PL"/>
        </w:rPr>
        <w:t xml:space="preserve">wykonanie oznakowania poziomego grubowarstwowego </w:t>
      </w:r>
      <w:r w:rsidR="008375DE" w:rsidRPr="001F2F8F">
        <w:rPr>
          <w:rFonts w:ascii="Verdana" w:hAnsi="Verdana" w:cs="Verdana"/>
          <w:sz w:val="18"/>
          <w:szCs w:val="18"/>
          <w:lang w:val="pl-PL"/>
        </w:rPr>
        <w:t xml:space="preserve">strukturalnego </w:t>
      </w:r>
      <w:r w:rsidR="001F2F8F" w:rsidRPr="001F2F8F">
        <w:rPr>
          <w:rFonts w:ascii="Verdana" w:hAnsi="Verdana" w:cs="Verdana"/>
          <w:sz w:val="18"/>
          <w:szCs w:val="18"/>
          <w:lang w:val="pl-PL"/>
        </w:rPr>
        <w:t xml:space="preserve">lub profilowanego </w:t>
      </w:r>
      <w:r w:rsidRPr="001F2F8F">
        <w:rPr>
          <w:rFonts w:ascii="Verdana" w:hAnsi="Verdana" w:cs="Verdana"/>
          <w:sz w:val="18"/>
          <w:szCs w:val="18"/>
          <w:lang w:val="pl-PL"/>
        </w:rPr>
        <w:t>- linie ciągłe,</w:t>
      </w:r>
    </w:p>
    <w:p w:rsidR="006C79F6" w:rsidRPr="001F2F8F" w:rsidRDefault="006C79F6" w:rsidP="00A90DA2">
      <w:pPr>
        <w:pStyle w:val="Akapitzlist"/>
        <w:numPr>
          <w:ilvl w:val="0"/>
          <w:numId w:val="4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1F2F8F">
        <w:rPr>
          <w:rFonts w:ascii="Verdana" w:hAnsi="Verdana" w:cs="Verdana"/>
          <w:sz w:val="18"/>
          <w:szCs w:val="18"/>
          <w:lang w:val="pl-PL"/>
        </w:rPr>
        <w:t xml:space="preserve">wykonanie oznakowania poziomego grubowarstwowego strukturalnego </w:t>
      </w:r>
      <w:r w:rsidR="001F2F8F" w:rsidRPr="001F2F8F">
        <w:rPr>
          <w:rFonts w:ascii="Verdana" w:hAnsi="Verdana" w:cs="Verdana"/>
          <w:sz w:val="18"/>
          <w:szCs w:val="18"/>
          <w:lang w:val="pl-PL"/>
        </w:rPr>
        <w:t xml:space="preserve">lub profilowanego </w:t>
      </w:r>
      <w:r w:rsidRPr="001F2F8F">
        <w:rPr>
          <w:rFonts w:ascii="Verdana" w:hAnsi="Verdana" w:cs="Verdana"/>
          <w:sz w:val="18"/>
          <w:szCs w:val="18"/>
          <w:lang w:val="pl-PL"/>
        </w:rPr>
        <w:t>- linie przerywane,</w:t>
      </w:r>
    </w:p>
    <w:p w:rsidR="006C79F6" w:rsidRPr="001F2F8F" w:rsidRDefault="006C79F6" w:rsidP="00A90DA2">
      <w:pPr>
        <w:pStyle w:val="Akapitzlist"/>
        <w:numPr>
          <w:ilvl w:val="0"/>
          <w:numId w:val="4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1F2F8F">
        <w:rPr>
          <w:rFonts w:ascii="Verdana" w:hAnsi="Verdana" w:cs="Verdana"/>
          <w:sz w:val="18"/>
          <w:szCs w:val="18"/>
          <w:lang w:val="pl-PL"/>
        </w:rPr>
        <w:t xml:space="preserve">wykonanie oznakowania poziomego grubowarstwowego </w:t>
      </w:r>
      <w:r w:rsidR="008375DE" w:rsidRPr="001F2F8F">
        <w:rPr>
          <w:rFonts w:ascii="Verdana" w:hAnsi="Verdana" w:cs="Verdana"/>
          <w:sz w:val="18"/>
          <w:szCs w:val="18"/>
          <w:lang w:val="pl-PL"/>
        </w:rPr>
        <w:t>strukturalnego</w:t>
      </w:r>
      <w:r w:rsidR="00B03C00">
        <w:rPr>
          <w:rFonts w:ascii="Verdana" w:hAnsi="Verdana" w:cs="Verdana"/>
          <w:sz w:val="18"/>
          <w:szCs w:val="18"/>
          <w:lang w:val="pl-PL"/>
        </w:rPr>
        <w:t xml:space="preserve"> </w:t>
      </w:r>
      <w:r w:rsidR="001F2F8F" w:rsidRPr="001F2F8F">
        <w:rPr>
          <w:rFonts w:ascii="Verdana" w:hAnsi="Verdana" w:cs="Verdana"/>
          <w:sz w:val="18"/>
          <w:szCs w:val="18"/>
          <w:lang w:val="pl-PL"/>
        </w:rPr>
        <w:t xml:space="preserve">lub profilowanego </w:t>
      </w:r>
      <w:r w:rsidR="008375DE" w:rsidRPr="001F2F8F">
        <w:rPr>
          <w:rFonts w:ascii="Verdana" w:hAnsi="Verdana" w:cs="Verdana"/>
          <w:sz w:val="18"/>
          <w:szCs w:val="18"/>
          <w:lang w:val="pl-PL"/>
        </w:rPr>
        <w:t>–</w:t>
      </w:r>
      <w:r w:rsidRPr="001F2F8F">
        <w:rPr>
          <w:rFonts w:ascii="Verdana" w:hAnsi="Verdana" w:cs="Verdana"/>
          <w:sz w:val="18"/>
          <w:szCs w:val="18"/>
          <w:lang w:val="pl-PL"/>
        </w:rPr>
        <w:t xml:space="preserve"> strzałki</w:t>
      </w:r>
      <w:r w:rsidR="008375DE" w:rsidRPr="001F2F8F">
        <w:rPr>
          <w:rFonts w:ascii="Verdana" w:hAnsi="Verdana" w:cs="Verdana"/>
          <w:sz w:val="18"/>
          <w:szCs w:val="18"/>
          <w:lang w:val="pl-PL"/>
        </w:rPr>
        <w:t xml:space="preserve"> i inne symbole</w:t>
      </w:r>
      <w:r w:rsidR="00B03C00">
        <w:rPr>
          <w:rFonts w:ascii="Verdana" w:hAnsi="Verdana" w:cs="Verdana"/>
          <w:sz w:val="18"/>
          <w:szCs w:val="18"/>
          <w:lang w:val="pl-PL"/>
        </w:rPr>
        <w:t>.</w:t>
      </w:r>
    </w:p>
    <w:p w:rsidR="00E1772B" w:rsidRPr="00770D48" w:rsidRDefault="00E1772B" w:rsidP="00A90DA2">
      <w:pPr>
        <w:pStyle w:val="Nagwek2"/>
        <w:keepNext w:val="0"/>
        <w:tabs>
          <w:tab w:val="num" w:pos="680"/>
        </w:tabs>
        <w:ind w:left="1418" w:right="208" w:hanging="567"/>
        <w:jc w:val="both"/>
        <w:rPr>
          <w:lang w:val="pl-PL"/>
        </w:rPr>
      </w:pPr>
      <w:bookmarkStart w:id="5" w:name="_Toc75167470"/>
      <w:r w:rsidRPr="00770D48">
        <w:rPr>
          <w:lang w:val="pl-PL"/>
        </w:rPr>
        <w:t>Określenia podstawowe</w:t>
      </w:r>
      <w:bookmarkEnd w:id="5"/>
    </w:p>
    <w:p w:rsidR="00E1772B" w:rsidRPr="00770D48" w:rsidRDefault="008375DE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b/>
          <w:bCs/>
          <w:sz w:val="18"/>
          <w:szCs w:val="18"/>
          <w:lang w:val="pl-PL"/>
        </w:rPr>
        <w:t>Oznakowanie poziome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 – znaki drogowe poziome, umieszczone na nawierzchni w postaci linii ciągłych lub przerywanych, pojedynczych lub podwójnych, strzałek, napisów, symboli oraz innych linii związanych z oznaczeniem określonych miejsc na tej nawierzchni.</w:t>
      </w:r>
    </w:p>
    <w:p w:rsidR="008375DE" w:rsidRPr="00770D48" w:rsidRDefault="008375DE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b/>
          <w:bCs/>
          <w:sz w:val="18"/>
          <w:szCs w:val="18"/>
          <w:lang w:val="pl-PL"/>
        </w:rPr>
        <w:t>Znaki podłużne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 – linie równoległe do osi jezdni lub odchylone od niej pod niewielkim kątem, występujące jako linie pojedyncze przerywane lub ciągłe, segregacyjne lub krawędziowe, podwójne ciągłe z przerywanymi, ciągłe lub przerywane.</w:t>
      </w:r>
    </w:p>
    <w:p w:rsidR="008375DE" w:rsidRPr="00770D48" w:rsidRDefault="008375DE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b/>
          <w:bCs/>
          <w:sz w:val="18"/>
          <w:szCs w:val="18"/>
          <w:lang w:val="pl-PL"/>
        </w:rPr>
        <w:t>Strzałki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 – znaki poziome na nawierzchni, występujące jako strzałki kierunkowe służące do wskazania dozwolonego kierunku jazdy oraz strzałki naprowadzające, które uprzedzają o konieczności opuszczenia pasa, na którym się znajdują.</w:t>
      </w:r>
    </w:p>
    <w:p w:rsidR="008375DE" w:rsidRPr="00770D48" w:rsidRDefault="008375DE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b/>
          <w:bCs/>
          <w:sz w:val="18"/>
          <w:szCs w:val="18"/>
          <w:lang w:val="pl-PL"/>
        </w:rPr>
        <w:t xml:space="preserve">Znaki poprzeczne </w:t>
      </w:r>
      <w:r w:rsidRPr="00770D48">
        <w:rPr>
          <w:rFonts w:ascii="Verdana" w:hAnsi="Verdana" w:cs="Verdana"/>
          <w:sz w:val="18"/>
          <w:szCs w:val="18"/>
          <w:lang w:val="pl-PL"/>
        </w:rPr>
        <w:t>– znaki służące do oznaczania miejsc przeznaczonych do ruchu pieszych i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rowerzystów w poprzek jezdni, miejsc wymagających zatrzymania pojazdów oraz miejsc lokalizacji progów zwalniających.</w:t>
      </w:r>
    </w:p>
    <w:p w:rsidR="008375DE" w:rsidRPr="00770D48" w:rsidRDefault="008375DE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b/>
          <w:bCs/>
          <w:sz w:val="18"/>
          <w:szCs w:val="18"/>
          <w:lang w:val="pl-PL"/>
        </w:rPr>
        <w:t>Znaki uzupełniające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 – znaki o różnych kształtach, wymiarach i przeznaczeniu, występujące w postaci symboli, napisów, linii przystankowych, stanowisk i pasów postojowych, powierzchni wyłączonych z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ruchu oraz symboli znaków pionowych w oznakowaniu poziomym.</w:t>
      </w:r>
    </w:p>
    <w:p w:rsidR="008375DE" w:rsidRDefault="008375DE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b/>
          <w:bCs/>
          <w:sz w:val="18"/>
          <w:szCs w:val="18"/>
          <w:lang w:val="pl-PL"/>
        </w:rPr>
        <w:t>Materiały do poziomego znakowania dróg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 – materiały zawierające rozpuszczalniki, wolne od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rozpuszczalników lub punktowe elementy odblaskowe, które mogą zostać naniesione albo wbudowane przez malowanie, natryskiwanie, odlewanie, wytłaczanie, rolowanie, klejenie itp. na nawierzchnie drogowe, stosowane w temperaturze otoczenia lub w temperaturze podwyższonej. Materiały te powinny posiadać właściwości odblaskowe.</w:t>
      </w:r>
    </w:p>
    <w:p w:rsidR="00A90DA2" w:rsidRPr="00A90DA2" w:rsidRDefault="00A90DA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90DA2">
        <w:rPr>
          <w:rFonts w:ascii="Verdana" w:hAnsi="Verdana" w:cs="Verdana"/>
          <w:b/>
          <w:bCs/>
          <w:sz w:val="18"/>
          <w:szCs w:val="18"/>
          <w:lang w:val="pl-PL"/>
        </w:rPr>
        <w:t>Materiały do znakowania grubowarstwowego</w:t>
      </w:r>
      <w:r w:rsidRPr="00A90DA2">
        <w:rPr>
          <w:rFonts w:ascii="Verdana" w:hAnsi="Verdana" w:cs="Verdana"/>
          <w:sz w:val="18"/>
          <w:szCs w:val="18"/>
          <w:lang w:val="pl-PL"/>
        </w:rPr>
        <w:t xml:space="preserve"> - materiały nakładane warstwą grubości od 0,9mm do 3,5mm. Należą do nich masy termoplastyczne i masy chemoutwardzalne stosowane na zimno. Dla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A90DA2">
        <w:rPr>
          <w:rFonts w:ascii="Verdana" w:hAnsi="Verdana" w:cs="Verdana"/>
          <w:sz w:val="18"/>
          <w:szCs w:val="18"/>
          <w:lang w:val="pl-PL"/>
        </w:rPr>
        <w:t>linii strukturalnych i profilowanych grubość linii może wynosić 5 mm.</w:t>
      </w:r>
    </w:p>
    <w:p w:rsidR="00A90DA2" w:rsidRPr="00A90DA2" w:rsidRDefault="00A90DA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90DA2">
        <w:rPr>
          <w:rFonts w:ascii="Verdana" w:hAnsi="Verdana" w:cs="Verdana"/>
          <w:b/>
          <w:bCs/>
          <w:sz w:val="18"/>
          <w:szCs w:val="18"/>
          <w:lang w:val="pl-PL"/>
        </w:rPr>
        <w:t>Materiały prefabrykowane</w:t>
      </w:r>
      <w:r w:rsidRPr="00A90DA2">
        <w:rPr>
          <w:rFonts w:ascii="Verdana" w:hAnsi="Verdana" w:cs="Verdana"/>
          <w:sz w:val="18"/>
          <w:szCs w:val="18"/>
          <w:lang w:val="pl-PL"/>
        </w:rPr>
        <w:t xml:space="preserve"> - materiały, które łączy się z powierzchnią drogi przez klejenie, wtapianie, wbudowanie lub w inny sposób. Zalicza się do nich masy termoplastyczne w arkuszach do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A90DA2">
        <w:rPr>
          <w:rFonts w:ascii="Verdana" w:hAnsi="Verdana" w:cs="Verdana"/>
          <w:sz w:val="18"/>
          <w:szCs w:val="18"/>
          <w:lang w:val="pl-PL"/>
        </w:rPr>
        <w:t>wtapiania oraz taśmy do oznakowań tymczasowych (żółte) i trwałych (białe).</w:t>
      </w:r>
    </w:p>
    <w:p w:rsidR="00A90DA2" w:rsidRPr="00A90DA2" w:rsidRDefault="00A90DA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90DA2">
        <w:rPr>
          <w:rFonts w:ascii="Verdana" w:hAnsi="Verdana" w:cs="Verdana"/>
          <w:b/>
          <w:bCs/>
          <w:sz w:val="18"/>
          <w:szCs w:val="18"/>
          <w:lang w:val="pl-PL"/>
        </w:rPr>
        <w:t>Kruszywo przeciwpoślizgowe</w:t>
      </w:r>
      <w:r w:rsidRPr="00A90DA2">
        <w:rPr>
          <w:rFonts w:ascii="Verdana" w:hAnsi="Verdana" w:cs="Verdana"/>
          <w:sz w:val="18"/>
          <w:szCs w:val="18"/>
          <w:lang w:val="pl-PL"/>
        </w:rPr>
        <w:t xml:space="preserve"> - twarde ziarna pochodzenia naturalnego lub sztucznego stosowane do zapewnienia własności przeciwpoślizgowych poziomym </w:t>
      </w:r>
      <w:proofErr w:type="spellStart"/>
      <w:r w:rsidRPr="00A90DA2">
        <w:rPr>
          <w:rFonts w:ascii="Verdana" w:hAnsi="Verdana" w:cs="Verdana"/>
          <w:sz w:val="18"/>
          <w:szCs w:val="18"/>
          <w:lang w:val="pl-PL"/>
        </w:rPr>
        <w:t>oznakowaniom</w:t>
      </w:r>
      <w:proofErr w:type="spellEnd"/>
      <w:r w:rsidRPr="00A90DA2">
        <w:rPr>
          <w:rFonts w:ascii="Verdana" w:hAnsi="Verdana" w:cs="Verdana"/>
          <w:sz w:val="18"/>
          <w:szCs w:val="18"/>
          <w:lang w:val="pl-PL"/>
        </w:rPr>
        <w:t xml:space="preserve"> dróg, stosowane samo lub w mieszaninie z kulkami szklanymi.</w:t>
      </w:r>
    </w:p>
    <w:p w:rsidR="008375DE" w:rsidRPr="00770D48" w:rsidRDefault="008375DE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b/>
          <w:bCs/>
          <w:sz w:val="18"/>
          <w:szCs w:val="18"/>
          <w:lang w:val="pl-PL"/>
        </w:rPr>
        <w:t>Oznakowanie nowe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 – oznakowanie, w którym zakończył się czas schnięcia i nie upłynęło 30 dni od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wykonania oznakowania. Pomiary właściwości oznakowania należy wykonać do 14 do 30 dnia po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wykonaniu oznakowania.</w:t>
      </w:r>
    </w:p>
    <w:p w:rsidR="008375DE" w:rsidRPr="00770D48" w:rsidRDefault="008375DE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b/>
          <w:bCs/>
          <w:sz w:val="18"/>
          <w:szCs w:val="18"/>
          <w:lang w:val="pl-PL"/>
        </w:rPr>
        <w:lastRenderedPageBreak/>
        <w:t>Tymczasowe oznakowanie drogowe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 – oznakowanie z materiału o barwie żółtej, którego czas użytkowania wynosi do 3 miesięcy lub do czasu zakończenia Robót.</w:t>
      </w:r>
    </w:p>
    <w:p w:rsidR="008375DE" w:rsidRPr="00770D48" w:rsidRDefault="008375DE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b/>
          <w:bCs/>
          <w:sz w:val="18"/>
          <w:szCs w:val="18"/>
          <w:lang w:val="pl-PL"/>
        </w:rPr>
        <w:t>Okresowe oznakowanie drogowe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 – oznakowanie, którego czas użytkowania wynosi do 6 miesięcy.</w:t>
      </w:r>
    </w:p>
    <w:p w:rsidR="00E1772B" w:rsidRPr="00770D48" w:rsidRDefault="00E1772B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Pozostałe określenia podstawowe są zgodne z obowiązującymi </w:t>
      </w:r>
      <w:r w:rsidR="008375DE" w:rsidRPr="00770D48">
        <w:rPr>
          <w:rFonts w:ascii="Verdana" w:hAnsi="Verdana" w:cs="Verdana"/>
          <w:sz w:val="18"/>
          <w:szCs w:val="18"/>
          <w:lang w:val="pl-PL"/>
        </w:rPr>
        <w:t>aktami prawnymi i z </w:t>
      </w:r>
      <w:r w:rsidRPr="00770D48">
        <w:rPr>
          <w:rFonts w:ascii="Verdana" w:hAnsi="Verdana" w:cs="Verdana"/>
          <w:sz w:val="18"/>
          <w:szCs w:val="18"/>
          <w:lang w:val="pl-PL"/>
        </w:rPr>
        <w:t>defini</w:t>
      </w:r>
      <w:r w:rsidRPr="00770D48">
        <w:rPr>
          <w:rFonts w:ascii="Verdana" w:hAnsi="Verdana" w:cs="Verdana"/>
          <w:sz w:val="18"/>
          <w:szCs w:val="18"/>
          <w:lang w:val="pl-PL"/>
        </w:rPr>
        <w:softHyphen/>
        <w:t>cjami podanymi w STWiORB DM 00.00.00 „Wymagania ogólne".</w:t>
      </w:r>
    </w:p>
    <w:p w:rsidR="00E1772B" w:rsidRPr="00770D48" w:rsidRDefault="00E1772B" w:rsidP="00A90DA2">
      <w:pPr>
        <w:pStyle w:val="Nagwek2"/>
        <w:keepNext w:val="0"/>
        <w:tabs>
          <w:tab w:val="num" w:pos="680"/>
        </w:tabs>
        <w:ind w:left="1418" w:right="208" w:hanging="567"/>
        <w:jc w:val="both"/>
        <w:rPr>
          <w:lang w:val="pl-PL"/>
        </w:rPr>
      </w:pPr>
      <w:bookmarkStart w:id="6" w:name="_Toc75167471"/>
      <w:r w:rsidRPr="00770D48">
        <w:rPr>
          <w:lang w:val="pl-PL"/>
        </w:rPr>
        <w:t>Ogólne wymagania dotyczące robót</w:t>
      </w:r>
      <w:bookmarkEnd w:id="6"/>
    </w:p>
    <w:p w:rsidR="00E1772B" w:rsidRPr="00770D48" w:rsidRDefault="00E1772B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Ogólne wymagania dotyczące robót podano w STWiORB DM 00.00.00 „Wymagania Ogólne”.</w:t>
      </w:r>
    </w:p>
    <w:p w:rsidR="00E1772B" w:rsidRPr="00770D48" w:rsidRDefault="00E1772B" w:rsidP="00A90DA2">
      <w:pPr>
        <w:pStyle w:val="Nagwek1"/>
        <w:keepNext w:val="0"/>
        <w:spacing w:before="240"/>
        <w:ind w:left="1418" w:right="208" w:hanging="567"/>
        <w:jc w:val="both"/>
        <w:rPr>
          <w:rFonts w:ascii="Verdana" w:hAnsi="Verdana"/>
          <w:color w:val="auto"/>
          <w:sz w:val="18"/>
          <w:szCs w:val="18"/>
          <w:lang w:val="pl-PL"/>
        </w:rPr>
      </w:pPr>
      <w:bookmarkStart w:id="7" w:name="_Toc75167472"/>
      <w:r w:rsidRPr="00770D48">
        <w:rPr>
          <w:rFonts w:ascii="Verdana" w:hAnsi="Verdana"/>
          <w:color w:val="auto"/>
          <w:sz w:val="18"/>
          <w:szCs w:val="18"/>
          <w:lang w:val="pl-PL"/>
        </w:rPr>
        <w:t>Materiały</w:t>
      </w:r>
      <w:bookmarkEnd w:id="7"/>
    </w:p>
    <w:p w:rsidR="003A4C1E" w:rsidRPr="00770D48" w:rsidRDefault="003A4C1E" w:rsidP="00A90DA2">
      <w:pPr>
        <w:pStyle w:val="Nagwek2"/>
        <w:keepNext w:val="0"/>
        <w:tabs>
          <w:tab w:val="num" w:pos="680"/>
        </w:tabs>
        <w:ind w:left="1418" w:right="208" w:hanging="567"/>
        <w:jc w:val="both"/>
        <w:rPr>
          <w:lang w:val="pl-PL"/>
        </w:rPr>
      </w:pPr>
      <w:bookmarkStart w:id="8" w:name="_Toc75167473"/>
      <w:r w:rsidRPr="00770D48">
        <w:rPr>
          <w:lang w:val="pl-PL"/>
        </w:rPr>
        <w:t>Ogólne wymagania dotyczące materiałów</w:t>
      </w:r>
      <w:bookmarkEnd w:id="8"/>
    </w:p>
    <w:p w:rsidR="00E1772B" w:rsidRPr="00770D48" w:rsidRDefault="00E1772B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Ogólne wymagania dotyczące materiałów</w:t>
      </w:r>
      <w:r w:rsidR="003A4C1E" w:rsidRPr="00770D48">
        <w:rPr>
          <w:rFonts w:ascii="Verdana" w:hAnsi="Verdana" w:cs="Verdana"/>
          <w:sz w:val="18"/>
          <w:szCs w:val="18"/>
          <w:lang w:val="pl-PL"/>
        </w:rPr>
        <w:t>,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 ich pozyskiwania i składowania podano w STWiORB DM</w:t>
      </w:r>
      <w:r w:rsidR="003A4C1E" w:rsidRP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00.00.00 Wymagania ogólne.</w:t>
      </w:r>
    </w:p>
    <w:p w:rsidR="003A4C1E" w:rsidRPr="00770D48" w:rsidRDefault="003A4C1E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Materiały stosowane przez Wykonawcę do poziomego oznakowania dróg powinny spełniać warunki postawione w rozporządzeniu Ministra Infrastruktury – Załącznik nr 2 do Rozporządzenia z dnia 3 lipca 2003 (</w:t>
      </w:r>
      <w:proofErr w:type="spellStart"/>
      <w:r w:rsidR="00770D48" w:rsidRPr="00770D48">
        <w:rPr>
          <w:rFonts w:ascii="Verdana" w:hAnsi="Verdana" w:cs="Verdana"/>
          <w:sz w:val="18"/>
          <w:szCs w:val="18"/>
          <w:lang w:val="pl-PL"/>
        </w:rPr>
        <w:t>t.j</w:t>
      </w:r>
      <w:proofErr w:type="spellEnd"/>
      <w:r w:rsidR="00770D48" w:rsidRPr="00770D48">
        <w:rPr>
          <w:rFonts w:ascii="Verdana" w:hAnsi="Verdana" w:cs="Verdana"/>
          <w:sz w:val="18"/>
          <w:szCs w:val="18"/>
          <w:lang w:val="pl-PL"/>
        </w:rPr>
        <w:t>. Dz.U.nr 2019 poz. 2311 z późn. zm.)</w:t>
      </w:r>
    </w:p>
    <w:p w:rsidR="003A4C1E" w:rsidRPr="00770D48" w:rsidRDefault="003A4C1E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Wyroby należy oznakować znakiem budowlanym B, zgodnie z rozporządzeniem Ministra Infrastruktury z dnia </w:t>
      </w:r>
      <w:r w:rsidR="00770D48" w:rsidRPr="00770D48">
        <w:rPr>
          <w:rFonts w:ascii="Verdana" w:hAnsi="Verdana" w:cs="Verdana"/>
          <w:sz w:val="18"/>
          <w:szCs w:val="18"/>
          <w:lang w:val="pl-PL"/>
        </w:rPr>
        <w:t>17 listopada 2016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 (</w:t>
      </w:r>
      <w:r w:rsidR="00770D48" w:rsidRPr="00770D48">
        <w:rPr>
          <w:rFonts w:ascii="Verdana" w:hAnsi="Verdana" w:cs="Verdana"/>
          <w:sz w:val="18"/>
          <w:szCs w:val="18"/>
          <w:lang w:val="pl-PL"/>
        </w:rPr>
        <w:t>Dz.U. 2016 poz. 1966 z późn. zm.)</w:t>
      </w:r>
      <w:r w:rsidRPr="00770D48">
        <w:rPr>
          <w:rFonts w:ascii="Verdana" w:hAnsi="Verdana" w:cs="Verdana"/>
          <w:sz w:val="18"/>
          <w:szCs w:val="18"/>
          <w:lang w:val="pl-PL"/>
        </w:rPr>
        <w:t>, co oznacza wystawienie deklaracji zgodności z aprobatą techniczną (np. dla farb oraz mas chemoutwardzalnych i</w:t>
      </w:r>
      <w:r w:rsidR="00770D48" w:rsidRP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termoplastycznych) lub znakiem CE, zgodnie z rozporządzeniem Ministra Infrastruktury, co oznacza wystawienie deklaracji zgodności z normą zharmonizowaną (np. dla kulek szklanych i punktowych elementów odblaskowych).</w:t>
      </w:r>
    </w:p>
    <w:p w:rsidR="003A4C1E" w:rsidRPr="00770D48" w:rsidRDefault="003A4C1E" w:rsidP="00A90DA2">
      <w:pPr>
        <w:pStyle w:val="Nagwek2"/>
        <w:keepNext w:val="0"/>
        <w:tabs>
          <w:tab w:val="num" w:pos="680"/>
        </w:tabs>
        <w:ind w:left="1418" w:right="208" w:hanging="567"/>
        <w:jc w:val="both"/>
        <w:rPr>
          <w:lang w:val="pl-PL"/>
        </w:rPr>
      </w:pPr>
      <w:bookmarkStart w:id="9" w:name="_Toc75167474"/>
      <w:r w:rsidRPr="00770D48">
        <w:rPr>
          <w:lang w:val="pl-PL"/>
        </w:rPr>
        <w:t>Badanie materiałów, których jakość budzi wątpliwość</w:t>
      </w:r>
      <w:bookmarkEnd w:id="9"/>
    </w:p>
    <w:p w:rsidR="00E1772B" w:rsidRPr="00770D48" w:rsidRDefault="003A4C1E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Wykonawca powinien przeprowadzić dodatkowe badania tych materiałów, które budzą wątpliwości jego lub Inżyniera co do jakości, w celu stwierdzenia czy odpowiadają one wymaganiom określonym w aprobacie technicznej. Badania te Wykonawca zleci akredytowanemu laboratorium drogowym. Badania powinny być wykonane zgodnie z PN</w:t>
      </w:r>
      <w:r w:rsidR="00401A3C">
        <w:rPr>
          <w:rFonts w:ascii="Verdana" w:hAnsi="Verdana" w:cs="Verdana"/>
          <w:sz w:val="18"/>
          <w:szCs w:val="18"/>
          <w:lang w:val="pl-PL"/>
        </w:rPr>
        <w:t>-</w:t>
      </w:r>
      <w:r w:rsidRPr="00770D48">
        <w:rPr>
          <w:rFonts w:ascii="Verdana" w:hAnsi="Verdana" w:cs="Verdana"/>
          <w:sz w:val="18"/>
          <w:szCs w:val="18"/>
          <w:lang w:val="pl-PL"/>
        </w:rPr>
        <w:t>EN 1871 lub Warunkami Technicznymi POD-97.</w:t>
      </w:r>
    </w:p>
    <w:p w:rsidR="003A4C1E" w:rsidRPr="00770D48" w:rsidRDefault="003A4C1E" w:rsidP="00A90DA2">
      <w:pPr>
        <w:pStyle w:val="Nagwek2"/>
        <w:keepNext w:val="0"/>
        <w:tabs>
          <w:tab w:val="num" w:pos="680"/>
        </w:tabs>
        <w:ind w:left="1418" w:right="208" w:hanging="567"/>
        <w:jc w:val="both"/>
        <w:rPr>
          <w:lang w:val="pl-PL"/>
        </w:rPr>
      </w:pPr>
      <w:bookmarkStart w:id="10" w:name="_Toc75167475"/>
      <w:r w:rsidRPr="00770D48">
        <w:rPr>
          <w:lang w:val="pl-PL"/>
        </w:rPr>
        <w:t>Materiały do wykonania oznakowania poziomego</w:t>
      </w:r>
      <w:bookmarkEnd w:id="10"/>
    </w:p>
    <w:p w:rsidR="003A4C1E" w:rsidRPr="00770D48" w:rsidRDefault="003A4C1E" w:rsidP="00A90DA2">
      <w:pPr>
        <w:pStyle w:val="Nagwek3"/>
        <w:tabs>
          <w:tab w:val="left" w:pos="851"/>
        </w:tabs>
        <w:ind w:left="1560" w:right="208" w:hanging="709"/>
        <w:jc w:val="both"/>
        <w:rPr>
          <w:b/>
          <w:bCs/>
          <w:color w:val="auto"/>
          <w:lang w:val="pl-PL"/>
        </w:rPr>
      </w:pPr>
      <w:r w:rsidRPr="00770D48">
        <w:rPr>
          <w:b/>
          <w:bCs/>
          <w:color w:val="auto"/>
          <w:lang w:val="pl-PL"/>
        </w:rPr>
        <w:t xml:space="preserve">Materiały do </w:t>
      </w:r>
      <w:r w:rsidR="008708F1" w:rsidRPr="00770D48">
        <w:rPr>
          <w:b/>
          <w:bCs/>
          <w:color w:val="auto"/>
          <w:lang w:val="pl-PL"/>
        </w:rPr>
        <w:t>znakowania grubowarstwowego</w:t>
      </w:r>
    </w:p>
    <w:p w:rsidR="008708F1" w:rsidRPr="00770D48" w:rsidRDefault="008708F1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Jako materiały do znakowania grubowarstwowego należy użyć masy chemoutwardzalne stosowane na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zimno lub masy termoplastyczne.</w:t>
      </w:r>
    </w:p>
    <w:p w:rsidR="008708F1" w:rsidRPr="00770D48" w:rsidRDefault="008708F1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Masy chemoutwardzalne powinny być substancjami jedno- lub dwuskładnikowymi, mieszanymi ze</w:t>
      </w:r>
      <w:r w:rsidR="00835082" w:rsidRP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sobą w proporcjach ustalonych przez producenta i nakładanymi na nawierzchnię odpowiednim aplikatorem. Masy te powinny tworzyć warstwę kohezyjną w wyniku reakcji chemicznej.</w:t>
      </w:r>
    </w:p>
    <w:p w:rsidR="008708F1" w:rsidRPr="00770D48" w:rsidRDefault="008708F1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Masy termoplastyczne powinny być substancjami nie zawierającymi rozpuszczalników, dostarczanymi w postaci bloków, granulek lub proszki. Przy stosowaniu powinny dać się podgrzewać do stopienia i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aplikować ręcznie lub maszynowo. Masy te powinny tworzyć spójną warstwę przez ochłodzenie.</w:t>
      </w:r>
    </w:p>
    <w:p w:rsidR="008708F1" w:rsidRPr="00770D48" w:rsidRDefault="008708F1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Każdy materiał używany przez Wykonawcę do poziomego znakowania dróg musi posiadać Aprobatę Techniczną dopuszczającą do jego stosowania wydaną przez Instytut Badawczy Dróg i Mostów. Badania powinny być wykonane zgodnie z wymaganiami podanymi w Aprobacie Technicznej 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IBDiM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>.</w:t>
      </w:r>
    </w:p>
    <w:p w:rsidR="003A4C1E" w:rsidRPr="00770D48" w:rsidRDefault="008708F1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Stosowane materiały muszą odpowiadać wymaganiom jakościowym wyrobów dopuszczonych do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obrotu i stosowania w budownictwie.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Materiały do znakowania grubowarstwowego powinny umożliwiać nakładanie ich warstwą w zakresie grubości od 2,0 mm do 3,5 mm. Jeżeli Inżynier nie ustali inaczej, to grubość oznakowania grubowarstwowego powinna wynosić 3 mm.</w:t>
      </w:r>
    </w:p>
    <w:p w:rsidR="003A4C1E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Masy termoplastyczne powinny być substancjami niezawierającymi rozpuszczalników, dostarczanymi w postaci bloków, granulek lub proszku. Przy stosowaniu powinny dać się podgrzewać do stopienia i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aplikować ręcznie lub maszynowo. Masy te powinny tworzyć warstwę kohezyjną przez ochłodzenie.</w:t>
      </w:r>
    </w:p>
    <w:p w:rsidR="00835082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Właściwości fizyczne materiałów do znakowania grubowarstwowego i wykonanych z nich elementów prefabrykowanych określa Aprobata Techniczna.</w:t>
      </w:r>
    </w:p>
    <w:p w:rsidR="00A90DA2" w:rsidRDefault="00A90DA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>
        <w:rPr>
          <w:rFonts w:ascii="Verdana" w:hAnsi="Verdana" w:cs="Verdana"/>
          <w:sz w:val="18"/>
          <w:szCs w:val="18"/>
          <w:lang w:val="pl-PL"/>
        </w:rPr>
        <w:t>Oznakowanie poziome drogi ekspresowej oraz odcinków planowanych do przebudowy dróg krajowych, należy wykonać jako grubowarstwowe:</w:t>
      </w:r>
    </w:p>
    <w:p w:rsidR="00A90DA2" w:rsidRPr="00A90DA2" w:rsidRDefault="00A90DA2" w:rsidP="0007601F">
      <w:pPr>
        <w:pStyle w:val="Akapitzlist"/>
        <w:numPr>
          <w:ilvl w:val="0"/>
          <w:numId w:val="22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90DA2">
        <w:rPr>
          <w:rFonts w:ascii="Verdana" w:hAnsi="Verdana" w:cs="Verdana"/>
          <w:sz w:val="18"/>
          <w:szCs w:val="18"/>
          <w:lang w:val="pl-PL"/>
        </w:rPr>
        <w:lastRenderedPageBreak/>
        <w:t>linie krawędziowe i segregacyjne na ciągu głównym w technologii grubowarstwowej strukturalnej, gdzie najechanie na linie krawędziowe powinno powodować powstanie efektu akustycznego i wibracji,</w:t>
      </w:r>
    </w:p>
    <w:p w:rsidR="00A90DA2" w:rsidRPr="00A90DA2" w:rsidRDefault="00A90DA2" w:rsidP="0007601F">
      <w:pPr>
        <w:pStyle w:val="Akapitzlist"/>
        <w:numPr>
          <w:ilvl w:val="0"/>
          <w:numId w:val="22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90DA2">
        <w:rPr>
          <w:rFonts w:ascii="Verdana" w:hAnsi="Verdana" w:cs="Verdana"/>
          <w:sz w:val="18"/>
          <w:szCs w:val="18"/>
          <w:lang w:val="pl-PL"/>
        </w:rPr>
        <w:t>pozostałe linie oznakowania poziomego w technologii profilowanej lub strukturalnej.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.</w:t>
      </w:r>
    </w:p>
    <w:p w:rsidR="00835082" w:rsidRPr="00770D48" w:rsidRDefault="00835082" w:rsidP="00A90DA2">
      <w:pPr>
        <w:pStyle w:val="Nagwek3"/>
        <w:tabs>
          <w:tab w:val="left" w:pos="851"/>
        </w:tabs>
        <w:ind w:left="1560" w:right="208" w:hanging="709"/>
        <w:jc w:val="both"/>
        <w:rPr>
          <w:b/>
          <w:bCs/>
          <w:color w:val="auto"/>
          <w:lang w:val="pl-PL"/>
        </w:rPr>
      </w:pPr>
      <w:r w:rsidRPr="00770D48">
        <w:rPr>
          <w:b/>
          <w:bCs/>
          <w:color w:val="auto"/>
          <w:lang w:val="pl-PL"/>
        </w:rPr>
        <w:t>Zawartość składników lotnych w materiałach do znakowania grubowarstwowego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Zawartość składników lotnych (rozpuszczalników organicznych) nie powinna przekraczać w materiałach do znakowania grubowarstwowego 2% (m/m).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Nie dopuszcza się stosowania materiałów zawierających benzen i rozpuszczalniki chlorowane.</w:t>
      </w:r>
    </w:p>
    <w:p w:rsidR="00835082" w:rsidRPr="00770D48" w:rsidRDefault="00835082" w:rsidP="00A90DA2">
      <w:pPr>
        <w:pStyle w:val="Nagwek3"/>
        <w:tabs>
          <w:tab w:val="left" w:pos="851"/>
        </w:tabs>
        <w:ind w:left="1560" w:right="208" w:hanging="709"/>
        <w:jc w:val="both"/>
        <w:rPr>
          <w:b/>
          <w:bCs/>
          <w:color w:val="auto"/>
          <w:lang w:val="pl-PL"/>
        </w:rPr>
      </w:pPr>
      <w:r w:rsidRPr="00770D48">
        <w:rPr>
          <w:b/>
          <w:bCs/>
          <w:color w:val="auto"/>
          <w:lang w:val="pl-PL"/>
        </w:rPr>
        <w:t xml:space="preserve">Materiał </w:t>
      </w:r>
      <w:proofErr w:type="spellStart"/>
      <w:r w:rsidRPr="00770D48">
        <w:rPr>
          <w:b/>
          <w:bCs/>
          <w:color w:val="auto"/>
          <w:lang w:val="pl-PL"/>
        </w:rPr>
        <w:t>uszorstniający</w:t>
      </w:r>
      <w:proofErr w:type="spellEnd"/>
      <w:r w:rsidRPr="00770D48">
        <w:rPr>
          <w:b/>
          <w:bCs/>
          <w:color w:val="auto"/>
          <w:lang w:val="pl-PL"/>
        </w:rPr>
        <w:t xml:space="preserve"> oznakowanie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Materiał 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uszorstniający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 xml:space="preserve"> oznakowanie powinien składać się z naturalnego lub sztucznego twardego kruszywa (np. krystobalitu), stosowanego w celu zapewnienia oznakowaniu odpowiedniej szorstkości (właściwości antypoślizgowych). Materiał 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uszorstniający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 xml:space="preserve"> nie może zawierać więcej niż 1% cząstek mniejszych niż 90 </w:t>
      </w:r>
      <w:proofErr w:type="spellStart"/>
      <w:r w:rsidR="006E5B7A">
        <w:rPr>
          <w:rFonts w:ascii="Verdana" w:hAnsi="Verdana" w:cs="Verdana"/>
          <w:sz w:val="18"/>
          <w:szCs w:val="18"/>
          <w:lang w:val="pl-PL"/>
        </w:rPr>
        <w:t>μ</w:t>
      </w:r>
      <w:r w:rsidRPr="00770D48">
        <w:rPr>
          <w:rFonts w:ascii="Verdana" w:hAnsi="Verdana" w:cs="Verdana"/>
          <w:sz w:val="18"/>
          <w:szCs w:val="18"/>
          <w:lang w:val="pl-PL"/>
        </w:rPr>
        <w:t>m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>. Konieczność jego użycia zachodzi w przypadku potrzeby uzyskania wskaźnika szorstkości oznakowania SRT &gt; 50.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Materiał 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uszorstniający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 xml:space="preserve"> (kruszywo przeciwpoślizgowe) oraz mieszanina kulek szklanych z materiałem 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uszorstniającym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 xml:space="preserve"> powinny odpowiadać wymaganiom określonym w aprobacie technicznej.</w:t>
      </w:r>
    </w:p>
    <w:p w:rsidR="00835082" w:rsidRPr="00770D48" w:rsidRDefault="00835082" w:rsidP="00A90DA2">
      <w:pPr>
        <w:pStyle w:val="Nagwek3"/>
        <w:tabs>
          <w:tab w:val="left" w:pos="851"/>
        </w:tabs>
        <w:ind w:left="1560" w:right="208" w:hanging="709"/>
        <w:jc w:val="both"/>
        <w:rPr>
          <w:b/>
          <w:bCs/>
          <w:color w:val="auto"/>
          <w:lang w:val="pl-PL"/>
        </w:rPr>
      </w:pPr>
      <w:r w:rsidRPr="00770D48">
        <w:rPr>
          <w:b/>
          <w:bCs/>
          <w:color w:val="auto"/>
          <w:lang w:val="pl-PL"/>
        </w:rPr>
        <w:t>Warunki składowania i przechowywania materiałów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Materiały do poziomego znakowania nawierzchni powinny zachowywać stałość swoich właściwości chemicznych i fizyko-chemicznych co najmniej w okresie 6 miesięcy składowania w warunkach określonych przez producenta.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Materiały do poziomego znakowania dróg należy przechowywać w magazynach odpowiadających zaleceniom producenta, zabezpieczających je od promieniowania słonecznego, opadów i w temperaturze:</w:t>
      </w:r>
    </w:p>
    <w:p w:rsidR="00835082" w:rsidRPr="00770D48" w:rsidRDefault="00835082" w:rsidP="00A90DA2">
      <w:pPr>
        <w:pStyle w:val="Akapitzlist"/>
        <w:numPr>
          <w:ilvl w:val="0"/>
          <w:numId w:val="5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dla farb </w:t>
      </w:r>
      <w:r w:rsidR="009B3BCE" w:rsidRPr="00770D48">
        <w:rPr>
          <w:rFonts w:ascii="Verdana" w:hAnsi="Verdana" w:cs="Verdana"/>
          <w:sz w:val="18"/>
          <w:szCs w:val="18"/>
          <w:lang w:val="pl-PL"/>
        </w:rPr>
        <w:t>wodorozcieńczalnych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 od +5 do +40 </w:t>
      </w:r>
      <w:proofErr w:type="spellStart"/>
      <w:r w:rsidR="009B3BCE" w:rsidRPr="00770D48">
        <w:rPr>
          <w:rStyle w:val="Teksttreci2"/>
          <w:color w:val="000000"/>
          <w:sz w:val="20"/>
          <w:vertAlign w:val="superscript"/>
          <w:lang w:val="pl-PL"/>
        </w:rPr>
        <w:t>o</w:t>
      </w:r>
      <w:r w:rsidRPr="00770D48">
        <w:rPr>
          <w:rFonts w:ascii="Verdana" w:hAnsi="Verdana" w:cs="Verdana"/>
          <w:sz w:val="18"/>
          <w:szCs w:val="18"/>
          <w:lang w:val="pl-PL"/>
        </w:rPr>
        <w:t>C</w:t>
      </w:r>
      <w:proofErr w:type="spellEnd"/>
    </w:p>
    <w:p w:rsidR="00835082" w:rsidRPr="00770D48" w:rsidRDefault="00835082" w:rsidP="00A90DA2">
      <w:pPr>
        <w:pStyle w:val="Akapitzlist"/>
        <w:numPr>
          <w:ilvl w:val="0"/>
          <w:numId w:val="5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dla farb rozpuszczalnikowych od -5 do + 25 ⁰C, </w:t>
      </w:r>
    </w:p>
    <w:p w:rsidR="00835082" w:rsidRDefault="00835082" w:rsidP="00A90DA2">
      <w:pPr>
        <w:pStyle w:val="Akapitzlist"/>
        <w:numPr>
          <w:ilvl w:val="0"/>
          <w:numId w:val="5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dla pozostałych materiałów - poniżej + 40 ⁰C. </w:t>
      </w:r>
    </w:p>
    <w:p w:rsidR="00365BE7" w:rsidRPr="00DF7517" w:rsidRDefault="00365BE7" w:rsidP="00365BE7">
      <w:pPr>
        <w:rPr>
          <w:rFonts w:cs="Arial"/>
          <w:sz w:val="18"/>
          <w:szCs w:val="18"/>
          <w:lang w:val="pl-PL"/>
        </w:rPr>
      </w:pPr>
    </w:p>
    <w:p w:rsidR="00365BE7" w:rsidRPr="00365BE7" w:rsidRDefault="00365BE7" w:rsidP="00365BE7">
      <w:pPr>
        <w:pStyle w:val="Nagwek3"/>
        <w:tabs>
          <w:tab w:val="left" w:pos="851"/>
        </w:tabs>
        <w:ind w:left="1560" w:right="208" w:hanging="709"/>
        <w:jc w:val="both"/>
        <w:rPr>
          <w:b/>
          <w:bCs/>
          <w:color w:val="auto"/>
          <w:lang w:val="pl-PL"/>
        </w:rPr>
      </w:pPr>
      <w:r w:rsidRPr="00365BE7">
        <w:rPr>
          <w:b/>
          <w:bCs/>
          <w:color w:val="auto"/>
          <w:lang w:val="pl-PL"/>
        </w:rPr>
        <w:t>Wymagania wobec materiałów ze względu na ochronę warunków pracy i środowiska.</w:t>
      </w:r>
    </w:p>
    <w:p w:rsidR="00365BE7" w:rsidRPr="00365BE7" w:rsidRDefault="00365BE7" w:rsidP="00365BE7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365BE7">
        <w:rPr>
          <w:rFonts w:ascii="Verdana" w:hAnsi="Verdana" w:cs="Verdana"/>
          <w:sz w:val="18"/>
          <w:szCs w:val="18"/>
          <w:lang w:val="pl-PL"/>
        </w:rPr>
        <w:t>Materiały stosowane do znakowania nawierzchni nie powinny zawierać substancji zagrażających zdrowiu ludzi i powodujących skażenie środowiska.</w:t>
      </w:r>
    </w:p>
    <w:p w:rsidR="00365BE7" w:rsidRPr="00365BE7" w:rsidRDefault="00365BE7" w:rsidP="00365BE7">
      <w:pPr>
        <w:pStyle w:val="Nagwek3"/>
        <w:tabs>
          <w:tab w:val="left" w:pos="851"/>
        </w:tabs>
        <w:ind w:left="1560" w:right="208" w:hanging="709"/>
        <w:jc w:val="both"/>
        <w:rPr>
          <w:b/>
          <w:bCs/>
          <w:color w:val="auto"/>
          <w:lang w:val="pl-PL"/>
        </w:rPr>
      </w:pPr>
      <w:r w:rsidRPr="00365BE7">
        <w:rPr>
          <w:b/>
          <w:bCs/>
          <w:color w:val="auto"/>
          <w:lang w:val="pl-PL"/>
        </w:rPr>
        <w:t>Przechowywanie i składowanie materiałów</w:t>
      </w:r>
    </w:p>
    <w:p w:rsidR="00365BE7" w:rsidRPr="00770D48" w:rsidRDefault="00365BE7" w:rsidP="00365BE7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DF7517">
        <w:rPr>
          <w:rStyle w:val="Teksttreci2"/>
          <w:color w:val="000000"/>
          <w:sz w:val="18"/>
          <w:szCs w:val="18"/>
          <w:lang w:val="pl-PL"/>
        </w:rPr>
        <w:t>Materiały należy przechowywać w magazynach odpowiadających zaleceniom producenta.</w:t>
      </w:r>
    </w:p>
    <w:p w:rsidR="00E1772B" w:rsidRPr="00770D48" w:rsidRDefault="00E1772B" w:rsidP="00A90DA2">
      <w:pPr>
        <w:pStyle w:val="Nagwek1"/>
        <w:keepNext w:val="0"/>
        <w:spacing w:before="240"/>
        <w:ind w:left="1418" w:right="208" w:hanging="567"/>
        <w:jc w:val="both"/>
        <w:rPr>
          <w:rFonts w:ascii="Verdana" w:hAnsi="Verdana"/>
          <w:color w:val="auto"/>
          <w:sz w:val="18"/>
          <w:szCs w:val="18"/>
          <w:lang w:val="pl-PL"/>
        </w:rPr>
      </w:pPr>
      <w:bookmarkStart w:id="11" w:name="bookmark6"/>
      <w:bookmarkStart w:id="12" w:name="_Toc75167477"/>
      <w:r w:rsidRPr="00770D48">
        <w:rPr>
          <w:rFonts w:ascii="Verdana" w:hAnsi="Verdana"/>
          <w:color w:val="auto"/>
          <w:sz w:val="18"/>
          <w:szCs w:val="18"/>
          <w:lang w:val="pl-PL"/>
        </w:rPr>
        <w:t>Sprzęt</w:t>
      </w:r>
      <w:bookmarkEnd w:id="11"/>
      <w:bookmarkEnd w:id="12"/>
    </w:p>
    <w:p w:rsidR="00835082" w:rsidRPr="00770D48" w:rsidRDefault="00835082" w:rsidP="00A90DA2">
      <w:pPr>
        <w:pStyle w:val="Nagwek2"/>
        <w:keepNext w:val="0"/>
        <w:tabs>
          <w:tab w:val="num" w:pos="680"/>
        </w:tabs>
        <w:ind w:left="1418" w:right="208" w:hanging="567"/>
        <w:jc w:val="both"/>
        <w:rPr>
          <w:lang w:val="pl-PL"/>
        </w:rPr>
      </w:pPr>
      <w:bookmarkStart w:id="13" w:name="_Toc75167478"/>
      <w:r w:rsidRPr="00770D48">
        <w:rPr>
          <w:lang w:val="pl-PL"/>
        </w:rPr>
        <w:t>Ogólne wymagania dotyczące sprzętu</w:t>
      </w:r>
      <w:bookmarkEnd w:id="13"/>
    </w:p>
    <w:p w:rsidR="00E1772B" w:rsidRPr="00770D48" w:rsidRDefault="00E1772B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Ogólne wymagania dotyczące sprzętu podano w STWiORB DM</w:t>
      </w:r>
      <w:r w:rsidR="000B7060" w:rsidRPr="00770D48">
        <w:rPr>
          <w:rFonts w:ascii="Verdana" w:hAnsi="Verdana" w:cs="Verdana"/>
          <w:sz w:val="18"/>
          <w:szCs w:val="18"/>
          <w:lang w:val="pl-PL"/>
        </w:rPr>
        <w:t>.</w:t>
      </w:r>
      <w:r w:rsidRPr="00770D48">
        <w:rPr>
          <w:rFonts w:ascii="Verdana" w:hAnsi="Verdana" w:cs="Verdana"/>
          <w:sz w:val="18"/>
          <w:szCs w:val="18"/>
          <w:lang w:val="pl-PL"/>
        </w:rPr>
        <w:t>00.00.00 ,.Wymagania ogólne.</w:t>
      </w:r>
    </w:p>
    <w:p w:rsidR="00835082" w:rsidRPr="00770D48" w:rsidRDefault="00835082" w:rsidP="00A90DA2">
      <w:pPr>
        <w:pStyle w:val="Nagwek2"/>
        <w:keepNext w:val="0"/>
        <w:tabs>
          <w:tab w:val="num" w:pos="680"/>
        </w:tabs>
        <w:ind w:left="1418" w:right="208" w:hanging="567"/>
        <w:jc w:val="both"/>
        <w:rPr>
          <w:lang w:val="pl-PL"/>
        </w:rPr>
      </w:pPr>
      <w:bookmarkStart w:id="14" w:name="_Toc75167479"/>
      <w:r w:rsidRPr="00770D48">
        <w:rPr>
          <w:lang w:val="pl-PL"/>
        </w:rPr>
        <w:t>Sprzęt do wykonania oznakowania poziomego</w:t>
      </w:r>
      <w:bookmarkEnd w:id="14"/>
    </w:p>
    <w:p w:rsidR="00515FB6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Znakowanie podłużne musi być wykonywane wyłącznie sprzętem mechanicznym. Znakowanie poprzeczne może być wykonywane przy użyciu szablonów, ręcznie. Sprzęt musi być zintegrowany z systemem zmechanizowanego posypywania 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mikrokulkami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 xml:space="preserve"> szklanymi. Zestaw sprzętu powinien posiadać możliwość regulacji wydajności nanoszonych materiałów oraz gwarantować równomierność ich podawania. </w:t>
      </w:r>
    </w:p>
    <w:p w:rsidR="00515FB6" w:rsidRPr="00770D48" w:rsidRDefault="00515FB6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Wykonawca przystępujący do wykonania oznakowania poziomego, w zależności od zakresu robót, powinien wykazać się możliwością korzystania z następującego sprzętu:</w:t>
      </w:r>
    </w:p>
    <w:p w:rsidR="00515FB6" w:rsidRPr="00770D48" w:rsidRDefault="00515FB6" w:rsidP="00A90DA2">
      <w:pPr>
        <w:pStyle w:val="Akapitzlist"/>
        <w:numPr>
          <w:ilvl w:val="0"/>
          <w:numId w:val="8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szczotek mechanicznych oraz szczotek ręcznych,</w:t>
      </w:r>
    </w:p>
    <w:p w:rsidR="00515FB6" w:rsidRPr="00770D48" w:rsidRDefault="00515FB6" w:rsidP="00A90DA2">
      <w:pPr>
        <w:pStyle w:val="Akapitzlist"/>
        <w:numPr>
          <w:ilvl w:val="0"/>
          <w:numId w:val="8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frezarek,</w:t>
      </w:r>
    </w:p>
    <w:p w:rsidR="00515FB6" w:rsidRPr="00770D48" w:rsidRDefault="00515FB6" w:rsidP="00A90DA2">
      <w:pPr>
        <w:pStyle w:val="Akapitzlist"/>
        <w:numPr>
          <w:ilvl w:val="0"/>
          <w:numId w:val="8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sprężarek,</w:t>
      </w:r>
    </w:p>
    <w:p w:rsidR="00515FB6" w:rsidRPr="00770D48" w:rsidRDefault="00515FB6" w:rsidP="00A90DA2">
      <w:pPr>
        <w:pStyle w:val="Akapitzlist"/>
        <w:numPr>
          <w:ilvl w:val="0"/>
          <w:numId w:val="8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malowarem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>,</w:t>
      </w:r>
    </w:p>
    <w:p w:rsidR="00515FB6" w:rsidRDefault="00515FB6" w:rsidP="00A90DA2">
      <w:pPr>
        <w:pStyle w:val="Akapitzlist"/>
        <w:numPr>
          <w:ilvl w:val="0"/>
          <w:numId w:val="8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układarek mas termoplastycznych lub chemoutwardzalnych.</w:t>
      </w:r>
    </w:p>
    <w:p w:rsidR="00E1772B" w:rsidRPr="00770D48" w:rsidRDefault="00E1772B" w:rsidP="00A90DA2">
      <w:pPr>
        <w:pStyle w:val="Nagwek1"/>
        <w:keepNext w:val="0"/>
        <w:spacing w:before="240"/>
        <w:ind w:left="1418" w:right="208" w:hanging="567"/>
        <w:jc w:val="both"/>
        <w:rPr>
          <w:rFonts w:ascii="Verdana" w:hAnsi="Verdana"/>
          <w:color w:val="auto"/>
          <w:sz w:val="18"/>
          <w:szCs w:val="18"/>
          <w:lang w:val="pl-PL"/>
        </w:rPr>
      </w:pPr>
      <w:bookmarkStart w:id="15" w:name="bookmark9"/>
      <w:bookmarkStart w:id="16" w:name="_Toc75167481"/>
      <w:r w:rsidRPr="00770D48">
        <w:rPr>
          <w:rFonts w:ascii="Verdana" w:hAnsi="Verdana"/>
          <w:color w:val="auto"/>
          <w:sz w:val="18"/>
          <w:szCs w:val="18"/>
          <w:lang w:val="pl-PL"/>
        </w:rPr>
        <w:lastRenderedPageBreak/>
        <w:t>Transport</w:t>
      </w:r>
      <w:bookmarkEnd w:id="15"/>
      <w:bookmarkEnd w:id="16"/>
    </w:p>
    <w:p w:rsidR="00835082" w:rsidRPr="00770D48" w:rsidRDefault="00835082" w:rsidP="00A90DA2">
      <w:pPr>
        <w:pStyle w:val="Nagwek2"/>
        <w:keepNext w:val="0"/>
        <w:tabs>
          <w:tab w:val="num" w:pos="680"/>
        </w:tabs>
        <w:ind w:left="1418" w:right="208" w:hanging="567"/>
        <w:jc w:val="both"/>
        <w:rPr>
          <w:lang w:val="pl-PL"/>
        </w:rPr>
      </w:pPr>
      <w:bookmarkStart w:id="17" w:name="_Toc75167482"/>
      <w:r w:rsidRPr="00770D48">
        <w:rPr>
          <w:lang w:val="pl-PL"/>
        </w:rPr>
        <w:t>Ogólne wymagania dotyczące transportu</w:t>
      </w:r>
      <w:bookmarkEnd w:id="17"/>
    </w:p>
    <w:p w:rsidR="00E1772B" w:rsidRPr="00770D48" w:rsidRDefault="00E1772B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Ogólne wymagania dotyczące transportu podano w STWiORB DM</w:t>
      </w:r>
      <w:r w:rsidR="000B7060" w:rsidRPr="00770D48">
        <w:rPr>
          <w:rFonts w:ascii="Verdana" w:hAnsi="Verdana" w:cs="Verdana"/>
          <w:sz w:val="18"/>
          <w:szCs w:val="18"/>
          <w:lang w:val="pl-PL"/>
        </w:rPr>
        <w:t>.</w:t>
      </w:r>
      <w:r w:rsidRPr="00770D48">
        <w:rPr>
          <w:rFonts w:ascii="Verdana" w:hAnsi="Verdana" w:cs="Verdana"/>
          <w:sz w:val="18"/>
          <w:szCs w:val="18"/>
          <w:lang w:val="pl-PL"/>
        </w:rPr>
        <w:t>00.00.00 "Wymagania ogólne”.</w:t>
      </w:r>
    </w:p>
    <w:p w:rsidR="00835082" w:rsidRPr="00770D48" w:rsidRDefault="00835082" w:rsidP="00A90DA2">
      <w:pPr>
        <w:pStyle w:val="Nagwek2"/>
        <w:keepNext w:val="0"/>
        <w:tabs>
          <w:tab w:val="num" w:pos="680"/>
        </w:tabs>
        <w:ind w:left="1418" w:right="208" w:hanging="567"/>
        <w:jc w:val="both"/>
        <w:rPr>
          <w:lang w:val="pl-PL"/>
        </w:rPr>
      </w:pPr>
      <w:bookmarkStart w:id="18" w:name="_Toc75167483"/>
      <w:r w:rsidRPr="00770D48">
        <w:rPr>
          <w:lang w:val="pl-PL"/>
        </w:rPr>
        <w:t>Transport materiałów do oznakowania</w:t>
      </w:r>
      <w:bookmarkEnd w:id="18"/>
    </w:p>
    <w:p w:rsidR="00835082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Materiały do oznakowania poziomego dróg należy przewozić w pojemnikach zapewniających szczelność, bezpieczeństwo i zachowanie wymaganych ich właściwości. Pojemniki powinny być oznakowane zgodnie z normą PN-85/O-79252. Materiały do oznakowania poziomego należy przewozić krytymi środkami transportowymi, chroniąc opakowania przed uszkodzeniem mechanicznym zgodnie z PN-89/C-81400.</w:t>
      </w:r>
    </w:p>
    <w:p w:rsidR="00365BE7" w:rsidRPr="00770D48" w:rsidRDefault="00365BE7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>
        <w:rPr>
          <w:rFonts w:ascii="Verdana" w:hAnsi="Verdana" w:cs="Verdana"/>
          <w:sz w:val="18"/>
          <w:szCs w:val="18"/>
          <w:lang w:val="pl-PL"/>
        </w:rPr>
        <w:t>Wykonawca jest zobowiązany do stosowania jedynie takich środków transportu, które nie wpłyną niekorzystnie na jakość wykonywanych robót.</w:t>
      </w:r>
    </w:p>
    <w:p w:rsidR="00E1772B" w:rsidRPr="00770D48" w:rsidRDefault="00E1772B" w:rsidP="00A90DA2">
      <w:pPr>
        <w:pStyle w:val="Nagwek1"/>
        <w:keepNext w:val="0"/>
        <w:spacing w:before="240"/>
        <w:ind w:left="1418" w:right="208" w:hanging="567"/>
        <w:jc w:val="both"/>
        <w:rPr>
          <w:rFonts w:ascii="Verdana" w:hAnsi="Verdana"/>
          <w:color w:val="auto"/>
          <w:sz w:val="18"/>
          <w:szCs w:val="18"/>
          <w:lang w:val="pl-PL"/>
        </w:rPr>
      </w:pPr>
      <w:bookmarkStart w:id="19" w:name="bookmark12"/>
      <w:bookmarkStart w:id="20" w:name="_Toc75167484"/>
      <w:r w:rsidRPr="00770D48">
        <w:rPr>
          <w:rFonts w:ascii="Verdana" w:hAnsi="Verdana"/>
          <w:color w:val="auto"/>
          <w:sz w:val="18"/>
          <w:szCs w:val="18"/>
          <w:lang w:val="pl-PL"/>
        </w:rPr>
        <w:t>Wykonanie robót</w:t>
      </w:r>
      <w:bookmarkEnd w:id="19"/>
      <w:bookmarkEnd w:id="20"/>
    </w:p>
    <w:p w:rsidR="00835082" w:rsidRPr="00770D48" w:rsidRDefault="00835082" w:rsidP="00A90DA2">
      <w:pPr>
        <w:pStyle w:val="Nagwek2"/>
        <w:keepNext w:val="0"/>
        <w:tabs>
          <w:tab w:val="num" w:pos="680"/>
        </w:tabs>
        <w:ind w:left="1418" w:right="208" w:hanging="567"/>
        <w:jc w:val="both"/>
        <w:rPr>
          <w:lang w:val="pl-PL"/>
        </w:rPr>
      </w:pPr>
      <w:bookmarkStart w:id="21" w:name="_Toc75167485"/>
      <w:r w:rsidRPr="00770D48">
        <w:rPr>
          <w:lang w:val="pl-PL"/>
        </w:rPr>
        <w:t>Ogólne zasady wykonania robót</w:t>
      </w:r>
      <w:bookmarkEnd w:id="21"/>
    </w:p>
    <w:p w:rsidR="00E1772B" w:rsidRPr="00770D48" w:rsidRDefault="00E1772B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Ogólne zasady wykonania robót podano w STWiORB DM 00.00.00 „Wymagania ogólne".</w:t>
      </w:r>
    </w:p>
    <w:p w:rsidR="00E1772B" w:rsidRPr="00770D48" w:rsidRDefault="00835082" w:rsidP="00A90DA2">
      <w:pPr>
        <w:pStyle w:val="Nagwek2"/>
        <w:keepNext w:val="0"/>
        <w:tabs>
          <w:tab w:val="num" w:pos="680"/>
        </w:tabs>
        <w:ind w:left="1418" w:right="208" w:hanging="567"/>
        <w:jc w:val="both"/>
        <w:rPr>
          <w:lang w:val="pl-PL"/>
        </w:rPr>
      </w:pPr>
      <w:bookmarkStart w:id="22" w:name="_Toc75167486"/>
      <w:bookmarkStart w:id="23" w:name="bookmark16"/>
      <w:r w:rsidRPr="00770D48">
        <w:rPr>
          <w:lang w:val="pl-PL"/>
        </w:rPr>
        <w:t xml:space="preserve">Zasady wykonania </w:t>
      </w:r>
      <w:r w:rsidR="003863CD">
        <w:rPr>
          <w:lang w:val="pl-PL"/>
        </w:rPr>
        <w:t>oznakowania poziomego</w:t>
      </w:r>
      <w:bookmarkEnd w:id="22"/>
    </w:p>
    <w:p w:rsidR="00515FB6" w:rsidRPr="00770D48" w:rsidRDefault="00515FB6" w:rsidP="00A90DA2">
      <w:pPr>
        <w:pStyle w:val="Nagwek3"/>
        <w:tabs>
          <w:tab w:val="left" w:pos="851"/>
        </w:tabs>
        <w:ind w:left="1560" w:right="208" w:hanging="709"/>
        <w:jc w:val="both"/>
        <w:rPr>
          <w:b/>
          <w:bCs/>
          <w:color w:val="auto"/>
          <w:lang w:val="pl-PL"/>
        </w:rPr>
      </w:pPr>
      <w:r w:rsidRPr="00770D48">
        <w:rPr>
          <w:b/>
          <w:bCs/>
          <w:color w:val="auto"/>
          <w:lang w:val="pl-PL"/>
        </w:rPr>
        <w:t>Wymagania dotyczące bezpieczeństwa i higieny pracy</w:t>
      </w:r>
    </w:p>
    <w:p w:rsidR="00515FB6" w:rsidRPr="00770D48" w:rsidRDefault="00515FB6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Przed przystąpieniem wykonania oznakowanie poziomego z użyciem mas chemoutwardzalnych</w:t>
      </w:r>
      <w:r w:rsidRPr="00770D48">
        <w:rPr>
          <w:rFonts w:ascii="Verdana" w:hAnsi="Verdana" w:cs="Verdana"/>
          <w:sz w:val="18"/>
          <w:szCs w:val="18"/>
          <w:lang w:val="pl-PL"/>
        </w:rPr>
        <w:br/>
        <w:t>lub termoplastycznych należy zapoznać się z instrukcją producenta, a w szczególności ostrzeżeniami</w:t>
      </w:r>
      <w:r w:rsidRPr="00770D48">
        <w:rPr>
          <w:rFonts w:ascii="Verdana" w:hAnsi="Verdana" w:cs="Verdana"/>
          <w:sz w:val="18"/>
          <w:szCs w:val="18"/>
          <w:lang w:val="pl-PL"/>
        </w:rPr>
        <w:br/>
        <w:t>dotyczącymi zagrożeń dla zdrowia, sposobami stosowania materiałów chemicznych.</w:t>
      </w:r>
    </w:p>
    <w:p w:rsidR="00835082" w:rsidRPr="00770D48" w:rsidRDefault="00835082" w:rsidP="00A90DA2">
      <w:pPr>
        <w:pStyle w:val="Nagwek3"/>
        <w:tabs>
          <w:tab w:val="left" w:pos="851"/>
        </w:tabs>
        <w:ind w:left="1560" w:right="208" w:hanging="709"/>
        <w:jc w:val="both"/>
        <w:rPr>
          <w:b/>
          <w:bCs/>
          <w:color w:val="auto"/>
          <w:lang w:val="pl-PL"/>
        </w:rPr>
      </w:pPr>
      <w:r w:rsidRPr="00770D48">
        <w:rPr>
          <w:b/>
          <w:bCs/>
          <w:color w:val="auto"/>
          <w:lang w:val="pl-PL"/>
        </w:rPr>
        <w:t xml:space="preserve">Warunki atmosferyczne 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Wykonawca może rozpocząć roboty po stwierdzeniu, że warunki atmosferyczne w czasie wykonywania robót będą zgodne z warunkami określonymi dla odpowiedniego rodzaju termoplastu użytego do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aplikacji. Temperatura powierzchni nawierzchni i powietrza powinna wynosić co najmniej + 10</w:t>
      </w:r>
      <w:r w:rsidR="00515FB6" w:rsidRPr="00770D48">
        <w:rPr>
          <w:rStyle w:val="Teksttreci2"/>
          <w:color w:val="000000"/>
          <w:sz w:val="20"/>
          <w:vertAlign w:val="superscript"/>
          <w:lang w:val="pl-PL"/>
        </w:rPr>
        <w:t>o</w:t>
      </w:r>
      <w:r w:rsidRPr="00770D48">
        <w:rPr>
          <w:rFonts w:ascii="Verdana" w:hAnsi="Verdana" w:cs="Verdana"/>
          <w:sz w:val="18"/>
          <w:szCs w:val="18"/>
          <w:lang w:val="pl-PL"/>
        </w:rPr>
        <w:t>C, a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wilgotność względna powietrza powinna być mniejsza od 85%. </w:t>
      </w:r>
    </w:p>
    <w:p w:rsidR="00835082" w:rsidRPr="00770D48" w:rsidRDefault="00835082" w:rsidP="00A90DA2">
      <w:pPr>
        <w:pStyle w:val="Nagwek3"/>
        <w:tabs>
          <w:tab w:val="left" w:pos="851"/>
        </w:tabs>
        <w:ind w:left="1560" w:right="208" w:hanging="709"/>
        <w:jc w:val="both"/>
        <w:rPr>
          <w:b/>
          <w:bCs/>
          <w:color w:val="auto"/>
          <w:lang w:val="pl-PL"/>
        </w:rPr>
      </w:pPr>
      <w:r w:rsidRPr="00770D48">
        <w:rPr>
          <w:b/>
          <w:bCs/>
          <w:color w:val="auto"/>
          <w:lang w:val="pl-PL"/>
        </w:rPr>
        <w:t xml:space="preserve">Przygotowanie podłoża do wykonania znakowania 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Przed wykonaniem znakowania poziomego należy oczyścić powierzchnię nawierzchni z pyłu, kurzu, smarów, olejów i innych zanieczyszczeń, przy użyciu sprzętu wymienionego w </w:t>
      </w:r>
      <w:r w:rsidR="00515FB6" w:rsidRPr="00770D48">
        <w:rPr>
          <w:rFonts w:ascii="Verdana" w:hAnsi="Verdana" w:cs="Verdana"/>
          <w:sz w:val="18"/>
          <w:szCs w:val="18"/>
          <w:lang w:val="pl-PL"/>
        </w:rPr>
        <w:t>ST</w:t>
      </w:r>
      <w:r w:rsidRPr="00770D48">
        <w:rPr>
          <w:rFonts w:ascii="Verdana" w:hAnsi="Verdana" w:cs="Verdana"/>
          <w:sz w:val="18"/>
          <w:szCs w:val="18"/>
          <w:lang w:val="pl-PL"/>
        </w:rPr>
        <w:t>WiORB i</w:t>
      </w:r>
      <w:r w:rsidR="00515FB6" w:rsidRP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zaakceptowanego przez Inżyniera. 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Powierzchnia nawierzchni przygotowana do wykonania oznakowania poziomego musi być czysta i</w:t>
      </w:r>
      <w:r w:rsidR="00515FB6" w:rsidRP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sucha. </w:t>
      </w:r>
    </w:p>
    <w:p w:rsidR="00835082" w:rsidRPr="00770D48" w:rsidRDefault="00835082" w:rsidP="00A90DA2">
      <w:pPr>
        <w:pStyle w:val="Nagwek3"/>
        <w:tabs>
          <w:tab w:val="left" w:pos="851"/>
        </w:tabs>
        <w:ind w:left="1560" w:right="208" w:hanging="709"/>
        <w:jc w:val="both"/>
        <w:rPr>
          <w:b/>
          <w:bCs/>
          <w:color w:val="auto"/>
          <w:lang w:val="pl-PL"/>
        </w:rPr>
      </w:pPr>
      <w:r w:rsidRPr="00770D48">
        <w:rPr>
          <w:b/>
          <w:bCs/>
          <w:color w:val="auto"/>
          <w:lang w:val="pl-PL"/>
        </w:rPr>
        <w:t xml:space="preserve">Jednorodność nawierzchni znakowanej 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Poprawność wykonania znakowania wymaga jednorodności nawierzchni znakowanej. Nierównomierności i albo miejsca łatania nawierzchni, które nie wyróżniają się od starej nawierzchni i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nie mają większego rozmiaru niż 15% powierzchni znakowanej, uznaje się za powierzchnie jednorodne. </w:t>
      </w:r>
    </w:p>
    <w:p w:rsidR="00835082" w:rsidRPr="00770D48" w:rsidRDefault="00835082" w:rsidP="00A90DA2">
      <w:pPr>
        <w:pStyle w:val="Nagwek3"/>
        <w:tabs>
          <w:tab w:val="left" w:pos="851"/>
        </w:tabs>
        <w:ind w:left="1560" w:right="208" w:hanging="709"/>
        <w:jc w:val="both"/>
        <w:rPr>
          <w:b/>
          <w:bCs/>
          <w:color w:val="auto"/>
          <w:lang w:val="pl-PL"/>
        </w:rPr>
      </w:pPr>
      <w:r w:rsidRPr="00770D48">
        <w:rPr>
          <w:b/>
          <w:bCs/>
          <w:color w:val="auto"/>
          <w:lang w:val="pl-PL"/>
        </w:rPr>
        <w:t>Przedznakowanie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Przed przystąpieniem do wykonania oznakowania poziomego należy wykonać przedznakowanie. Znaki te w postaci cienkich linii lub kropek należy wykonywać nietrwałą farbą, np. farbą silnie rozrzedzoną rozpuszczalnikiem. Początek i koniec znakowania należy zaznaczyć małą kreską poprzeczną. </w:t>
      </w:r>
    </w:p>
    <w:p w:rsidR="00835082" w:rsidRPr="00770D48" w:rsidRDefault="00835082" w:rsidP="00A90DA2">
      <w:pPr>
        <w:pStyle w:val="Nagwek3"/>
        <w:tabs>
          <w:tab w:val="left" w:pos="851"/>
        </w:tabs>
        <w:ind w:left="1560" w:right="208" w:hanging="709"/>
        <w:jc w:val="both"/>
        <w:rPr>
          <w:b/>
          <w:bCs/>
          <w:color w:val="auto"/>
          <w:lang w:val="pl-PL"/>
        </w:rPr>
      </w:pPr>
      <w:r w:rsidRPr="00770D48">
        <w:rPr>
          <w:b/>
          <w:bCs/>
          <w:color w:val="auto"/>
          <w:lang w:val="pl-PL"/>
        </w:rPr>
        <w:t xml:space="preserve">Odcinek próbny 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Przed przystąpieniem do robót Wykonawca powinien wykonać odcinek próbny w miejscu określonym przez Inżyniera. Długość odcinka próbnego nie powinna być mniejsza niż 300 mb zawierającego linie segregacyjne oraz linie krawędziowe. 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Na odcinku próbnym należy: </w:t>
      </w:r>
    </w:p>
    <w:p w:rsidR="00835082" w:rsidRPr="00770D48" w:rsidRDefault="00835082" w:rsidP="00A90DA2">
      <w:pPr>
        <w:pStyle w:val="Akapitzlist"/>
        <w:numPr>
          <w:ilvl w:val="0"/>
          <w:numId w:val="6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u w:val="single"/>
          <w:lang w:val="pl-PL"/>
        </w:rPr>
        <w:t>sprawdzić ilość wbudowanej masy wraz z kulkami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 na 1m2 powierzchni oznakowania na</w:t>
      </w:r>
      <w:r w:rsidR="00515FB6" w:rsidRP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próbce z blachy o wymiarach 240x100x0,5mm, trwale ocechowanej, posiadającą określoną tarę. Cała powierzchnia płytki musi być pokryta aplikowanym materiałem. Ilość wbudowanego materiału musi być zgodna z Aprobatą Techniczną. Ilość wbudowanej masy wraz z kulkami powinna zapewnić wymaganą grubość dla oznakowania grubowarstwowego. </w:t>
      </w:r>
    </w:p>
    <w:p w:rsidR="00515FB6" w:rsidRPr="00770D48" w:rsidRDefault="00835082" w:rsidP="00A90DA2">
      <w:pPr>
        <w:pStyle w:val="Akapitzlist"/>
        <w:numPr>
          <w:ilvl w:val="0"/>
          <w:numId w:val="6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u w:val="single"/>
          <w:lang w:val="pl-PL"/>
        </w:rPr>
        <w:t>sprawdzić widzialność w dzień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 tj. wykonać pomiary barwy i współczynnika luminancji β z</w:t>
      </w:r>
      <w:r w:rsidR="00515FB6" w:rsidRP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częstotliwością 1 pomiar na linii segregacyjnej i 2 pomiary na liniach krawędziowych. </w:t>
      </w:r>
      <w:r w:rsidRPr="00770D48">
        <w:rPr>
          <w:rFonts w:ascii="Verdana" w:hAnsi="Verdana" w:cs="Verdana"/>
          <w:sz w:val="18"/>
          <w:szCs w:val="18"/>
          <w:lang w:val="pl-PL"/>
        </w:rPr>
        <w:lastRenderedPageBreak/>
        <w:t>Jeden</w:t>
      </w:r>
      <w:r w:rsidR="00515FB6" w:rsidRP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(1) pomiar oznacza wykonanie 5 uwidocznionych odczytów (współrzędnych chromatyczności 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x,y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 xml:space="preserve"> i współczynnika luminancji β ) na tej samej linii i z niewielkim przesunięciem lokalizacji. </w:t>
      </w:r>
    </w:p>
    <w:p w:rsidR="00515FB6" w:rsidRPr="00770D48" w:rsidRDefault="00835082" w:rsidP="00A90DA2">
      <w:pPr>
        <w:pStyle w:val="Akapitzlist"/>
        <w:spacing w:before="60" w:after="60" w:line="276" w:lineRule="auto"/>
        <w:ind w:left="157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Wyniki współrzędnych chromatyczności 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x,y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 xml:space="preserve"> należy nanieść na wykres i sprawdzić czy mieszczą się w polu zdefiniowanym dla koloru białego. Wszystkie pomiary współrzędnych x, y muszą mieścić się w polu koloru białego. W przypadku nie spełnienia tego wymagania oznakowanie nie może być dopuszczone do wbudowania na drodze. </w:t>
      </w:r>
    </w:p>
    <w:p w:rsidR="00515FB6" w:rsidRPr="00770D48" w:rsidRDefault="00835082" w:rsidP="00A90DA2">
      <w:pPr>
        <w:pStyle w:val="Akapitzlist"/>
        <w:spacing w:before="60" w:after="60" w:line="276" w:lineRule="auto"/>
        <w:ind w:left="157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Wielkość współczynnika luminancji β jest średnią z pięciu pomiarów i musi spełniać wymagania jak dla nowego oznakowania zgodnie z Aprobatą Techniczną. </w:t>
      </w:r>
    </w:p>
    <w:p w:rsidR="00835082" w:rsidRPr="00770D48" w:rsidRDefault="00515FB6" w:rsidP="00A90DA2">
      <w:pPr>
        <w:pStyle w:val="Akapitzlist"/>
        <w:numPr>
          <w:ilvl w:val="0"/>
          <w:numId w:val="6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u w:val="single"/>
          <w:lang w:val="pl-PL"/>
        </w:rPr>
      </w:pPr>
      <w:r w:rsidRPr="00770D48">
        <w:rPr>
          <w:rFonts w:ascii="Verdana" w:hAnsi="Verdana" w:cs="Verdana"/>
          <w:sz w:val="18"/>
          <w:szCs w:val="18"/>
          <w:u w:val="single"/>
          <w:lang w:val="pl-PL"/>
        </w:rPr>
        <w:t>s</w:t>
      </w:r>
      <w:r w:rsidR="00835082" w:rsidRPr="00770D48">
        <w:rPr>
          <w:rFonts w:ascii="Verdana" w:hAnsi="Verdana" w:cs="Verdana"/>
          <w:sz w:val="18"/>
          <w:szCs w:val="18"/>
          <w:u w:val="single"/>
          <w:lang w:val="pl-PL"/>
        </w:rPr>
        <w:t>prawdzić widzialność w nocy</w:t>
      </w:r>
      <w:r w:rsidR="00835082" w:rsidRPr="00770D48">
        <w:rPr>
          <w:rFonts w:ascii="Verdana" w:hAnsi="Verdana" w:cs="Verdana"/>
          <w:sz w:val="18"/>
          <w:szCs w:val="18"/>
          <w:lang w:val="pl-PL"/>
        </w:rPr>
        <w:t xml:space="preserve"> poprzez:</w:t>
      </w:r>
    </w:p>
    <w:p w:rsidR="00835082" w:rsidRPr="00770D48" w:rsidRDefault="00835082" w:rsidP="00A90DA2">
      <w:pPr>
        <w:pStyle w:val="Akapitzlist"/>
        <w:numPr>
          <w:ilvl w:val="1"/>
          <w:numId w:val="9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b/>
          <w:bCs/>
          <w:sz w:val="18"/>
          <w:szCs w:val="18"/>
          <w:lang w:val="pl-PL"/>
        </w:rPr>
        <w:t>ocenę wizualną nocą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 równomierności odblasku na całej szerokości linii w całym przekroju drogi. Oznakowanie musi być jednorodne i nie powinno posiadać żadnych plam, etc. </w:t>
      </w:r>
    </w:p>
    <w:p w:rsidR="00835082" w:rsidRPr="00770D48" w:rsidRDefault="00835082" w:rsidP="00A90DA2">
      <w:pPr>
        <w:pStyle w:val="Akapitzlist"/>
        <w:numPr>
          <w:ilvl w:val="1"/>
          <w:numId w:val="9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b/>
          <w:bCs/>
          <w:sz w:val="18"/>
          <w:szCs w:val="18"/>
          <w:lang w:val="pl-PL"/>
        </w:rPr>
        <w:t>pomiar odblasku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 wykonywany z częstotliwością 1pomiar na linii segregacyjnej oraz 2</w:t>
      </w:r>
      <w:r w:rsidR="009B3BCE" w:rsidRP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pomiary na liniach krawędziowych w przekroju drogi. Jeden (1) pomiar oznacza wykonanie 3 uwidocznionych odczytów na tej samej linii i z niewielkim przesunięciem lokalizacji. Wynik stanowi średnia z trzech odczytów i musi spełniać wymagania jak dla nowego oznakowania zgodnie z Aprobatą Techniczną. 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Wyniki uzyskane z odcinka próbnego są przedmiotem oceny Inżyniera. Na podstawie wyników uzyskanych na odcinku próbnym Inżynier podejmie decyzję o dopuszczeniu do układania masy na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wykonywanym odcinku drogi. </w:t>
      </w:r>
    </w:p>
    <w:p w:rsidR="00835082" w:rsidRPr="00770D48" w:rsidRDefault="00835082" w:rsidP="00A90DA2">
      <w:pPr>
        <w:pStyle w:val="Nagwek3"/>
        <w:tabs>
          <w:tab w:val="left" w:pos="851"/>
        </w:tabs>
        <w:ind w:left="1560" w:right="208" w:hanging="709"/>
        <w:jc w:val="both"/>
        <w:rPr>
          <w:b/>
          <w:bCs/>
          <w:color w:val="auto"/>
          <w:lang w:val="pl-PL"/>
        </w:rPr>
      </w:pPr>
      <w:r w:rsidRPr="00770D48">
        <w:rPr>
          <w:b/>
          <w:bCs/>
          <w:color w:val="auto"/>
          <w:lang w:val="pl-PL"/>
        </w:rPr>
        <w:t xml:space="preserve">Wykonanie oznakowania grubowarstwowego 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Wykonanie znakowania powinno być zgodne z zaleceniami producenta materiałów, a w przypadku ich braku lub niepełnych danych - zgodne z poniższymi wskazaniami. 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Przed wykonaniem oznakowania grubowarstwowego o strukturze regularnej należy wykonać podkładu z np. farby białej. 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Materiał znakujący należy nakładać równomierną warstwą o grubości ustalonej na odcinku próbnym zachowując wymiary i ostrość krawędzi. Grubość nanoszonej warstwy zaleca się kontrolować przy pomocy grzebienia pomiarowego na płytce szklanej lub metalowej, podkładanej na drodze układarki. Ilość materiału zużyta w czasie prac, określona przez średnie zużycie na metr kwadratowy, nie może się różnić od ilości ustalonej, więcej niż o 20%. 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W przypadku mas chemoutwardzalnych i termoplastycznych wszystkie większe prace (linie krawędziowe, segregacyjne na długich odcinkach dróg) powinny być wykonywane przy użyciu urządzeń samojezdnych z automatycznym podziałem linii i posypywaniem kulkami szklanymi z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ew.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materiałem 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uszorstniającym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 xml:space="preserve">. W przypadku mniejszych prac, wielkość, wydajność i jakość sprzętu należy dostosować do ich zakresu i rozmiaru. Decyzję dotyczącą rodzaju sprzętu i sposobu wykonania znakowania podejmuje Inżynier na wniosek Wykonawcy. 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Bezpośrednio po nałożeniu masy, w celu uzyskania odblaskowości świeżą powłokę należy posypać mieszaniną odblaskową w ilości 300 g/m2. Zalecane są 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mikrokule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 xml:space="preserve"> szklane refleksyjne 100 – 600 bez powłoki silikonowej. 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Zaleca się nakładanie warstwy o grubości od 2 – 4 mm. Grubość warstwy Wykonawca uzgodni z</w:t>
      </w:r>
      <w:r w:rsidR="00515FB6" w:rsidRP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Inżynierem. Przejezdność uzyskuje się po 5 – 15 min od rozłożenia termoplastu w zależności od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temperatury nawierzchni i powietrza. 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u w:val="single"/>
          <w:lang w:val="pl-PL"/>
        </w:rPr>
      </w:pPr>
      <w:r w:rsidRPr="00770D48">
        <w:rPr>
          <w:rFonts w:ascii="Verdana" w:hAnsi="Verdana" w:cs="Verdana"/>
          <w:sz w:val="18"/>
          <w:szCs w:val="18"/>
          <w:u w:val="single"/>
          <w:lang w:val="pl-PL"/>
        </w:rPr>
        <w:t xml:space="preserve">UWAGA: 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Dla celów kontroli jakości wykonanego oznakowania grubowarstwowego strukturalnego należy, w</w:t>
      </w:r>
      <w:r w:rsidR="00515FB6" w:rsidRP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miejscach uzgodnionych z Inżynierem, tuż po wykonaniu odcinka oznakowania grubowarstwowego rozprowadzić packą wykonane oznakowanie tak, aby uzyskać jednolitą białą powierzchnię (bez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prześwitów czarnej nawierzchni). Długość takiego odcinka testowego powinna być taka, aby była możliwość ustawienia aparatu do pomiarów bieli oznakowania i wykonania pomiarów. Należy wykonać ewidencję tych punktów, w celu ponownego sprawdzenia parametrów oznakowania. </w:t>
      </w:r>
    </w:p>
    <w:p w:rsidR="00835082" w:rsidRPr="00770D48" w:rsidRDefault="00835082" w:rsidP="00A90DA2">
      <w:pPr>
        <w:pStyle w:val="Nagwek3"/>
        <w:tabs>
          <w:tab w:val="left" w:pos="851"/>
        </w:tabs>
        <w:ind w:left="1560" w:right="208" w:hanging="709"/>
        <w:jc w:val="both"/>
        <w:rPr>
          <w:b/>
          <w:bCs/>
          <w:color w:val="auto"/>
          <w:lang w:val="pl-PL"/>
        </w:rPr>
      </w:pPr>
      <w:r w:rsidRPr="00770D48">
        <w:rPr>
          <w:b/>
          <w:bCs/>
          <w:color w:val="auto"/>
          <w:lang w:val="pl-PL"/>
        </w:rPr>
        <w:t xml:space="preserve">Wykonanie oznakowania tymczasowego 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Do wykonywania oznakowania tymczasowego barwy żółtej należy stosować materiały łatwe do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usunięcia po zakończeniu okresu tymczasowości. Linie wyznaczające pasy ruchu zaleca się </w:t>
      </w:r>
      <w:r w:rsidRPr="00770D48">
        <w:rPr>
          <w:rFonts w:ascii="Verdana" w:hAnsi="Verdana" w:cs="Verdana"/>
          <w:sz w:val="18"/>
          <w:szCs w:val="18"/>
          <w:lang w:val="pl-PL"/>
        </w:rPr>
        <w:lastRenderedPageBreak/>
        <w:t xml:space="preserve">uzupełnić punktowymi elementami odblaskowymi z odbłyśnikami także barwy żółtej. </w:t>
      </w:r>
    </w:p>
    <w:p w:rsidR="00835082" w:rsidRPr="00770D48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Czasowe oznakowanie poziome powinno być wykonane z materiałów odblaskowych. Do jego wykonania należy stosować: farby, taśmy samoprzylepne lub punktowe elementy odblaskowe. Stosowanie farb dopuszcza się wyłącznie w takich przypadkach, gdy w wyniku przewidywanych robót nawierzchniowych oznakowanie to po ich zakończeniu będzie całkowicie niewidoczne, np. zostanie przykryte nową warstwą ścieralną nawierzchni. </w:t>
      </w:r>
    </w:p>
    <w:p w:rsidR="00835082" w:rsidRDefault="00835082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Materiały stosowane do wykonywania oznakowania tymczasowego powinny także posiadać aprobaty techniczne, a producent powinien wystawiać deklarację zgodności.</w:t>
      </w:r>
    </w:p>
    <w:p w:rsidR="00E1772B" w:rsidRPr="00770D48" w:rsidRDefault="00E1772B" w:rsidP="00A90DA2">
      <w:pPr>
        <w:pStyle w:val="Nagwek1"/>
        <w:keepNext w:val="0"/>
        <w:spacing w:before="240"/>
        <w:ind w:left="1418" w:right="208" w:hanging="567"/>
        <w:jc w:val="both"/>
        <w:rPr>
          <w:rFonts w:ascii="Verdana" w:hAnsi="Verdana"/>
          <w:color w:val="auto"/>
          <w:sz w:val="18"/>
          <w:szCs w:val="18"/>
          <w:lang w:val="pl-PL"/>
        </w:rPr>
      </w:pPr>
      <w:bookmarkStart w:id="24" w:name="bookmark17"/>
      <w:bookmarkStart w:id="25" w:name="_Toc75167487"/>
      <w:bookmarkEnd w:id="23"/>
      <w:r w:rsidRPr="00770D48">
        <w:rPr>
          <w:rFonts w:ascii="Verdana" w:hAnsi="Verdana"/>
          <w:color w:val="auto"/>
          <w:sz w:val="18"/>
          <w:szCs w:val="18"/>
          <w:lang w:val="pl-PL"/>
        </w:rPr>
        <w:t>Kontrola jakości robót</w:t>
      </w:r>
      <w:bookmarkEnd w:id="24"/>
      <w:bookmarkEnd w:id="25"/>
    </w:p>
    <w:p w:rsidR="00653618" w:rsidRPr="00770D48" w:rsidRDefault="00653618" w:rsidP="00A90DA2">
      <w:pPr>
        <w:pStyle w:val="Nagwek2"/>
        <w:keepNext w:val="0"/>
        <w:tabs>
          <w:tab w:val="num" w:pos="680"/>
        </w:tabs>
        <w:ind w:left="1418" w:right="208" w:hanging="567"/>
        <w:jc w:val="both"/>
        <w:rPr>
          <w:lang w:val="pl-PL"/>
        </w:rPr>
      </w:pPr>
      <w:bookmarkStart w:id="26" w:name="_Toc75167488"/>
      <w:r w:rsidRPr="00770D48">
        <w:rPr>
          <w:lang w:val="pl-PL"/>
        </w:rPr>
        <w:t>Ogólne zasady kontroli jakości robót</w:t>
      </w:r>
      <w:bookmarkEnd w:id="26"/>
    </w:p>
    <w:p w:rsidR="00E1772B" w:rsidRPr="00770D48" w:rsidRDefault="00E1772B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Ogólne zasady kontroli jakości robót podano w STWiORB DM 00.00.00 „Wymagania ogólne".</w:t>
      </w:r>
    </w:p>
    <w:p w:rsidR="00E1772B" w:rsidRPr="00770D48" w:rsidRDefault="00653618" w:rsidP="00A90DA2">
      <w:pPr>
        <w:pStyle w:val="Nagwek2"/>
        <w:keepNext w:val="0"/>
        <w:tabs>
          <w:tab w:val="num" w:pos="680"/>
        </w:tabs>
        <w:ind w:left="1418" w:right="208" w:hanging="567"/>
        <w:jc w:val="both"/>
        <w:rPr>
          <w:lang w:val="pl-PL"/>
        </w:rPr>
      </w:pPr>
      <w:bookmarkStart w:id="27" w:name="_Toc75167489"/>
      <w:r w:rsidRPr="00770D48">
        <w:rPr>
          <w:lang w:val="pl-PL"/>
        </w:rPr>
        <w:t>Kontrola jakości materiałów</w:t>
      </w:r>
      <w:bookmarkEnd w:id="27"/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Przed przystąpieniem do robót Wykonawca powinien: </w:t>
      </w:r>
    </w:p>
    <w:p w:rsidR="00653618" w:rsidRPr="00770D48" w:rsidRDefault="00653618" w:rsidP="00A90DA2">
      <w:pPr>
        <w:pStyle w:val="Akapitzlist"/>
        <w:numPr>
          <w:ilvl w:val="0"/>
          <w:numId w:val="10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uzyskać wymagane dokumenty, dopuszczające wyroby budowlane do obrotu i</w:t>
      </w:r>
      <w:r w:rsidR="004238A4" w:rsidRP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powszechnego stosowania (certyfikaty zgodności, deklarację właściwości użytkowych, ew.</w:t>
      </w:r>
      <w:r w:rsidR="004238A4" w:rsidRP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badania materiałów wykonane przez dostawców itp.), </w:t>
      </w:r>
    </w:p>
    <w:p w:rsidR="00653618" w:rsidRPr="00770D48" w:rsidRDefault="00653618" w:rsidP="00A90DA2">
      <w:pPr>
        <w:pStyle w:val="Akapitzlist"/>
        <w:numPr>
          <w:ilvl w:val="0"/>
          <w:numId w:val="10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sprawdzić cechy zewnętrzne gotowych materiałów.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Wszystkie dokumenty oraz wyniki badań Wykonawca przedstawia Inżynierowi do akceptacji.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Ponadto Wykonawca jest zobowiązany dostarczyć próbniki z naniesionymi wzorcami oznakowania na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blasze (300x250x0,8mm), po jednym dla każdego rodzaju materiału. Próbniki muszą być wykonane zgodnie z Aprobatą Techniczną (wagowe zużycie materiału, wzorzec struktury wykonywanego oznakowania).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Zawartość składników lotnych (rozpuszczalników organicznych) nie powinna przekraczać 25% (m/m) w postaci gotowej do aplikacji w materiałach do znakowania.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Nie dopuszcza się stosowania materiałów zawierających rozpuszczalnik aromatyczny (jak np. toluen, ksylen) w ilości większej niż 8%. Nie dopuszcza się stosowania materiałów zawierających benzen i</w:t>
      </w:r>
      <w:r w:rsidR="004238A4" w:rsidRP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rozpuszczalniki chlorowane.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Kontrola jakości materiałów powinna dotyczyć ich cech wymienionych w p. 2, jednorazowo dla każdej dostawy.</w:t>
      </w:r>
    </w:p>
    <w:p w:rsidR="00653618" w:rsidRPr="00770D48" w:rsidRDefault="00653618" w:rsidP="00A90DA2">
      <w:pPr>
        <w:pStyle w:val="Nagwek2"/>
        <w:keepNext w:val="0"/>
        <w:tabs>
          <w:tab w:val="num" w:pos="680"/>
        </w:tabs>
        <w:ind w:left="1418" w:right="208" w:hanging="567"/>
        <w:jc w:val="both"/>
        <w:rPr>
          <w:lang w:val="pl-PL"/>
        </w:rPr>
      </w:pPr>
      <w:bookmarkStart w:id="28" w:name="_Toc75167490"/>
      <w:r w:rsidRPr="00770D48">
        <w:rPr>
          <w:lang w:val="pl-PL"/>
        </w:rPr>
        <w:t>Badanie przygotowania podłoża i przedznakowania</w:t>
      </w:r>
      <w:bookmarkEnd w:id="28"/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Powierzchnia jezdni przed wykonaniem znakowania poziomego</w:t>
      </w:r>
      <w:r w:rsidR="001311F0">
        <w:rPr>
          <w:rFonts w:ascii="Verdana" w:hAnsi="Verdana" w:cs="Verdana"/>
          <w:sz w:val="18"/>
          <w:szCs w:val="18"/>
          <w:lang w:val="pl-PL"/>
        </w:rPr>
        <w:t xml:space="preserve"> oraz znakowania punktowymi elementami odblaskowymi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 musi być czysta i sucha.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Przedznakowanie powinno być wykonane zgodnie z wymaganiami p. 5.2.5.</w:t>
      </w:r>
    </w:p>
    <w:p w:rsidR="00653618" w:rsidRPr="00770D48" w:rsidRDefault="00653618" w:rsidP="00A90DA2">
      <w:pPr>
        <w:pStyle w:val="Nagwek2"/>
        <w:keepNext w:val="0"/>
        <w:tabs>
          <w:tab w:val="num" w:pos="680"/>
        </w:tabs>
        <w:ind w:left="1418" w:right="208" w:hanging="567"/>
        <w:jc w:val="both"/>
        <w:rPr>
          <w:lang w:val="pl-PL"/>
        </w:rPr>
      </w:pPr>
      <w:bookmarkStart w:id="29" w:name="_Toc75167491"/>
      <w:r w:rsidRPr="00770D48">
        <w:rPr>
          <w:lang w:val="pl-PL"/>
        </w:rPr>
        <w:t>Badanie wykonania oznakowania poziomego</w:t>
      </w:r>
      <w:bookmarkEnd w:id="29"/>
    </w:p>
    <w:p w:rsidR="00653618" w:rsidRPr="00770D48" w:rsidRDefault="00653618" w:rsidP="00A90DA2">
      <w:pPr>
        <w:pStyle w:val="Nagwek3"/>
        <w:tabs>
          <w:tab w:val="left" w:pos="851"/>
        </w:tabs>
        <w:ind w:left="1560" w:right="208" w:hanging="709"/>
        <w:jc w:val="both"/>
        <w:rPr>
          <w:b/>
          <w:bCs/>
          <w:color w:val="auto"/>
          <w:lang w:val="pl-PL"/>
        </w:rPr>
      </w:pPr>
      <w:r w:rsidRPr="00770D48">
        <w:rPr>
          <w:b/>
          <w:bCs/>
          <w:color w:val="auto"/>
          <w:lang w:val="pl-PL"/>
        </w:rPr>
        <w:t>Zasady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Wymagania sprecyzowano w celu określenia właściwości oznakowania dróg w czasie ich użytkowania. Wymagania określa się kilkoma parametrami reprezentującymi różne aspekty właściwości oznakowania dróg według PN-EN 1436 i PN-EN 1436:2000/A1.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Badania wstępne, dla których określono pierwsze wymaganie, są wykonywane w celu kontroli przed odbiorem. Powinny być wykonane w terminie od 14 do 30 dnia po wykonaniu. Kolejne badania kontrolne należy wykonywać po okresie, od 3 do 6 miesięcy po wykonaniu i przed upływem 1 roku, oraz po 2, 3 i 4 latach dla materiałów o trwałości dłuższej niż 1 rok.</w:t>
      </w:r>
    </w:p>
    <w:p w:rsidR="00653618" w:rsidRPr="00770D48" w:rsidRDefault="00653618" w:rsidP="00A90DA2">
      <w:pPr>
        <w:pStyle w:val="Nagwek3"/>
        <w:tabs>
          <w:tab w:val="left" w:pos="851"/>
        </w:tabs>
        <w:ind w:left="1560" w:right="208" w:hanging="709"/>
        <w:jc w:val="both"/>
        <w:rPr>
          <w:b/>
          <w:bCs/>
          <w:color w:val="auto"/>
          <w:lang w:val="pl-PL"/>
        </w:rPr>
      </w:pPr>
      <w:r w:rsidRPr="00770D48">
        <w:rPr>
          <w:b/>
          <w:bCs/>
          <w:color w:val="auto"/>
          <w:lang w:val="pl-PL"/>
        </w:rPr>
        <w:t>Częstotliwość wykonywania badań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Wykonawca wykonując znakowanie poziome przeprowadza przed rozpoczęciem każdej pracy oraz w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czasie jej wykonywania, co najmniej raz dziennie, następujące badania:</w:t>
      </w:r>
    </w:p>
    <w:p w:rsidR="004238A4" w:rsidRPr="00770D48" w:rsidRDefault="00653618" w:rsidP="00A90DA2">
      <w:pPr>
        <w:pStyle w:val="Akapitzlist"/>
        <w:numPr>
          <w:ilvl w:val="0"/>
          <w:numId w:val="11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przed rozpoczęciem pracy: </w:t>
      </w:r>
    </w:p>
    <w:p w:rsidR="004238A4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sprawdzenie oznakowania opakowań, </w:t>
      </w:r>
    </w:p>
    <w:p w:rsidR="004238A4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wizualną ocenę stanu materiału, w zakresie jego jednorodności i widocznych wad, </w:t>
      </w:r>
    </w:p>
    <w:p w:rsidR="00ED419E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pomiar wilgotności względnej powietrza, </w:t>
      </w:r>
    </w:p>
    <w:p w:rsidR="00653618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pomiar temperatury powietrza i nawierzchni, </w:t>
      </w:r>
    </w:p>
    <w:p w:rsidR="00653618" w:rsidRPr="00770D48" w:rsidRDefault="00653618" w:rsidP="00A90DA2">
      <w:pPr>
        <w:pStyle w:val="Akapitzlist"/>
        <w:numPr>
          <w:ilvl w:val="0"/>
          <w:numId w:val="11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 czasie wykonywania pracy: </w:t>
      </w:r>
    </w:p>
    <w:p w:rsidR="00653618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lastRenderedPageBreak/>
        <w:t xml:space="preserve">pomiar czasu stygnięcia masy - wg Aprobaty Technicznej, </w:t>
      </w:r>
    </w:p>
    <w:p w:rsidR="00653618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wizualną ocenę równomierności rozłożenia kulek szklanych, </w:t>
      </w:r>
    </w:p>
    <w:p w:rsidR="00653618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pomiar grubości warstwy oznakowania - co najmniej 1 badanie na 1 km każdej linii, </w:t>
      </w:r>
    </w:p>
    <w:p w:rsidR="00653618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pomiar poziomych wymiarów oznakowania, na zgodność z Dokumentacją Projektową i</w:t>
      </w:r>
      <w:r w:rsidR="00ED419E" w:rsidRP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Załącznikiem Nr 2 do rozporządzenia Ministra Infrastruktury z dnia 3 lipca 2003 (</w:t>
      </w:r>
      <w:proofErr w:type="spellStart"/>
      <w:r w:rsidR="00770D48" w:rsidRPr="00770D48">
        <w:rPr>
          <w:rFonts w:ascii="Verdana" w:hAnsi="Verdana" w:cs="Verdana"/>
          <w:sz w:val="18"/>
          <w:szCs w:val="18"/>
          <w:lang w:val="pl-PL"/>
        </w:rPr>
        <w:t>t.j</w:t>
      </w:r>
      <w:proofErr w:type="spellEnd"/>
      <w:r w:rsidR="00770D48" w:rsidRPr="00770D48">
        <w:rPr>
          <w:rFonts w:ascii="Verdana" w:hAnsi="Verdana" w:cs="Verdana"/>
          <w:sz w:val="18"/>
          <w:szCs w:val="18"/>
          <w:lang w:val="pl-PL"/>
        </w:rPr>
        <w:t>.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="00770D48" w:rsidRPr="00770D48">
        <w:rPr>
          <w:rFonts w:ascii="Verdana" w:hAnsi="Verdana" w:cs="Verdana"/>
          <w:sz w:val="18"/>
          <w:szCs w:val="18"/>
          <w:lang w:val="pl-PL"/>
        </w:rPr>
        <w:t>Dz.U.nr 2019 poz. 2311 z późn. zm.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) </w:t>
      </w:r>
    </w:p>
    <w:p w:rsidR="00653618" w:rsidRPr="00770D48" w:rsidRDefault="00653618" w:rsidP="00A90DA2">
      <w:pPr>
        <w:pStyle w:val="Akapitzlist"/>
        <w:numPr>
          <w:ilvl w:val="0"/>
          <w:numId w:val="11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kontrola wykonanego oznakowania </w:t>
      </w:r>
    </w:p>
    <w:p w:rsidR="00653618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widzialność w nocy widzialność w dzień </w:t>
      </w:r>
    </w:p>
    <w:p w:rsidR="00653618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szorstkości </w:t>
      </w:r>
    </w:p>
    <w:p w:rsidR="00653618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określenia barwy czyli oznaczenie składowych trójchromatycznych x, y przy zdefiniowanym źródle światła (2 pomiary określające pole barwy), odpowiadających wymaganiom podanym w PN-EN 1436.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Protokół z przeprowadzonych badań wraz z jedną próbką na blasze (300x250x0,8mm) Wykonawca powinien przechować do czasu upływu okresu gwarancji.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Do odbioru i w przypadku wątpliwości dotyczących wykonania oznakowania poziomego, Inżynier może zlecić wykonanie badań: </w:t>
      </w:r>
    </w:p>
    <w:p w:rsidR="00653618" w:rsidRPr="00770D48" w:rsidRDefault="00653618" w:rsidP="00A90DA2">
      <w:pPr>
        <w:pStyle w:val="Akapitzlist"/>
        <w:numPr>
          <w:ilvl w:val="0"/>
          <w:numId w:val="12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widzialności w nocy, </w:t>
      </w:r>
    </w:p>
    <w:p w:rsidR="00653618" w:rsidRPr="00770D48" w:rsidRDefault="00653618" w:rsidP="00A90DA2">
      <w:pPr>
        <w:pStyle w:val="Akapitzlist"/>
        <w:numPr>
          <w:ilvl w:val="0"/>
          <w:numId w:val="12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widzialności w dzień, </w:t>
      </w:r>
    </w:p>
    <w:p w:rsidR="00653618" w:rsidRPr="00770D48" w:rsidRDefault="00653618" w:rsidP="00A90DA2">
      <w:pPr>
        <w:pStyle w:val="Akapitzlist"/>
        <w:numPr>
          <w:ilvl w:val="0"/>
          <w:numId w:val="12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szorstkości, </w:t>
      </w:r>
    </w:p>
    <w:p w:rsidR="00653618" w:rsidRPr="00770D48" w:rsidRDefault="00653618" w:rsidP="00A90DA2">
      <w:pPr>
        <w:pStyle w:val="Akapitzlist"/>
        <w:numPr>
          <w:ilvl w:val="0"/>
          <w:numId w:val="12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odpowiadających wymaganiom podanym w punkcie 6.4.3 i wykonanych według metod określonych w Warunkach technicznych POD-97.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W przypadku uzyskania rozbieżnych wyników pomiarów uzyskanych przez Zamawiającego i</w:t>
      </w:r>
      <w:r w:rsidR="00ED419E" w:rsidRP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Wykonawcę należy przeprowadzić pomiary rozjemcze. Jeżeli wyniki tych badań wykażą wadliwość wykonanego oznakowania to koszt badań ponosi Wykonawca, w przypadku przeciwnym - Zamawiający.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Badania powinien zlecać Zamawiający do niezależnego laboratorium badawczego.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W przypadku konieczności wykonywania pomiarów na otwartych do ruchu odcinkach dróg o</w:t>
      </w:r>
      <w:r w:rsidR="00770D48" w:rsidRP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dopuszczalnej prędkości &gt;100 km/h należy ograniczyć je do linii krawędziowych zewnętrznych w</w:t>
      </w:r>
      <w:r w:rsidR="00770D48" w:rsidRP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przypadku wykonywania pomiarów aparatami ręcznymi, ze względu na bezpieczeństwo wykonujących pomiary.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Metodą referencyjną wykonania pomiarów współczynnika odblaskowości i współczynnika luminancji jest metoda dynamiczna. Dopuszcza się wykonanie pomiarów przy pomocy aparatów ręcznych.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W przypadku wykonywania pomiarów współczynnika odblaskowości i współczynników luminancji aparatami ręcznymi częstotliwość pomiarów należy dostosować do długości badanego odcinka, zgodnie z tablicą 1. W każdym z mierzonych punktów należy wykonać po 5 odczytów współczynnika odblasku i po 3 odczyty współczynników luminancji w odległości jeden od drugiego minimum 1 m.</w:t>
      </w:r>
    </w:p>
    <w:p w:rsidR="00ED419E" w:rsidRPr="00770D48" w:rsidRDefault="00ED419E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i/>
          <w:iCs/>
          <w:sz w:val="16"/>
          <w:szCs w:val="16"/>
          <w:lang w:val="pl-PL"/>
        </w:rPr>
      </w:pPr>
      <w:r w:rsidRPr="00770D48">
        <w:rPr>
          <w:rFonts w:ascii="Verdana" w:hAnsi="Verdana" w:cs="Verdana"/>
          <w:i/>
          <w:iCs/>
          <w:sz w:val="16"/>
          <w:szCs w:val="16"/>
          <w:lang w:val="pl-PL"/>
        </w:rPr>
        <w:t xml:space="preserve">Tabela </w:t>
      </w:r>
      <w:r w:rsidR="00002C3F" w:rsidRPr="00770D48">
        <w:rPr>
          <w:rFonts w:ascii="Verdana" w:hAnsi="Verdana" w:cs="Verdana"/>
          <w:i/>
          <w:iCs/>
          <w:sz w:val="16"/>
          <w:szCs w:val="16"/>
          <w:lang w:val="pl-PL"/>
        </w:rPr>
        <w:fldChar w:fldCharType="begin"/>
      </w:r>
      <w:r w:rsidRPr="00770D48">
        <w:rPr>
          <w:rFonts w:ascii="Verdana" w:hAnsi="Verdana" w:cs="Verdana"/>
          <w:i/>
          <w:iCs/>
          <w:sz w:val="16"/>
          <w:szCs w:val="16"/>
          <w:lang w:val="pl-PL"/>
        </w:rPr>
        <w:instrText xml:space="preserve"> SEQ Tabela \* ARABIC </w:instrText>
      </w:r>
      <w:r w:rsidR="00002C3F" w:rsidRPr="00770D48">
        <w:rPr>
          <w:rFonts w:ascii="Verdana" w:hAnsi="Verdana" w:cs="Verdana"/>
          <w:i/>
          <w:iCs/>
          <w:sz w:val="16"/>
          <w:szCs w:val="16"/>
          <w:lang w:val="pl-PL"/>
        </w:rPr>
        <w:fldChar w:fldCharType="separate"/>
      </w:r>
      <w:r w:rsidR="00C71C02">
        <w:rPr>
          <w:rFonts w:ascii="Verdana" w:hAnsi="Verdana" w:cs="Verdana"/>
          <w:i/>
          <w:iCs/>
          <w:noProof/>
          <w:sz w:val="16"/>
          <w:szCs w:val="16"/>
          <w:lang w:val="pl-PL"/>
        </w:rPr>
        <w:t>3</w:t>
      </w:r>
      <w:r w:rsidR="00002C3F" w:rsidRPr="00770D48">
        <w:rPr>
          <w:rFonts w:ascii="Verdana" w:hAnsi="Verdana" w:cs="Verdana"/>
          <w:i/>
          <w:iCs/>
          <w:sz w:val="16"/>
          <w:szCs w:val="16"/>
          <w:lang w:val="pl-PL"/>
        </w:rPr>
        <w:fldChar w:fldCharType="end"/>
      </w:r>
      <w:r w:rsidRPr="00770D48">
        <w:rPr>
          <w:rFonts w:ascii="Verdana" w:hAnsi="Verdana" w:cs="Verdana"/>
          <w:i/>
          <w:iCs/>
          <w:sz w:val="16"/>
          <w:szCs w:val="16"/>
          <w:lang w:val="pl-PL"/>
        </w:rPr>
        <w:t xml:space="preserve"> Częstotliwość pomiarów współczynników odblaskowości i luminacji aparatami ręcznymi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1887"/>
        <w:gridCol w:w="3298"/>
        <w:gridCol w:w="2388"/>
      </w:tblGrid>
      <w:tr w:rsidR="00653618" w:rsidRPr="00887E78" w:rsidTr="00887E7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Długość odcinka, km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 xml:space="preserve">Częstotliwość pomiarów, </w:t>
            </w:r>
            <w:proofErr w:type="spellStart"/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conajmniej</w:t>
            </w:r>
            <w:proofErr w:type="spellEnd"/>
          </w:p>
        </w:tc>
        <w:tc>
          <w:tcPr>
            <w:tcW w:w="2388" w:type="dxa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 xml:space="preserve">Minimalna </w:t>
            </w:r>
            <w:proofErr w:type="spellStart"/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ilośćpomiarów</w:t>
            </w:r>
            <w:proofErr w:type="spellEnd"/>
          </w:p>
        </w:tc>
      </w:tr>
      <w:tr w:rsidR="00653618" w:rsidRPr="00887E78" w:rsidTr="00887E7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od 0 do 3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od 0,1 do 0,5 km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3-6</w:t>
            </w:r>
          </w:p>
        </w:tc>
      </w:tr>
      <w:tr w:rsidR="00653618" w:rsidRPr="00887E78" w:rsidTr="00887E7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od 3 do 10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co 1 km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11</w:t>
            </w:r>
          </w:p>
        </w:tc>
      </w:tr>
      <w:tr w:rsidR="00653618" w:rsidRPr="00887E78" w:rsidTr="00887E7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od 10 do 20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co 2 km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11</w:t>
            </w:r>
          </w:p>
        </w:tc>
      </w:tr>
      <w:tr w:rsidR="00653618" w:rsidRPr="00887E78" w:rsidTr="00887E7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od 20 do 30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co 3 km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11</w:t>
            </w:r>
          </w:p>
        </w:tc>
      </w:tr>
      <w:tr w:rsidR="00653618" w:rsidRPr="00887E78" w:rsidTr="00887E7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powyżej 30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co 4 km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653618" w:rsidRPr="00887E78" w:rsidRDefault="00653618" w:rsidP="00887E78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&gt; 11</w:t>
            </w:r>
          </w:p>
        </w:tc>
      </w:tr>
    </w:tbl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Wartość wskaźnika szorstkości zaleca się oznaczyć w 2 - 4 punktach oznakowania odcinka.</w:t>
      </w:r>
    </w:p>
    <w:p w:rsidR="00653618" w:rsidRPr="00770D48" w:rsidRDefault="00653618" w:rsidP="00A90DA2">
      <w:pPr>
        <w:pStyle w:val="Nagwek3"/>
        <w:tabs>
          <w:tab w:val="left" w:pos="851"/>
        </w:tabs>
        <w:ind w:left="1560" w:right="208" w:hanging="709"/>
        <w:jc w:val="both"/>
        <w:rPr>
          <w:b/>
          <w:bCs/>
          <w:color w:val="auto"/>
          <w:lang w:val="pl-PL"/>
        </w:rPr>
      </w:pPr>
      <w:r w:rsidRPr="00770D48">
        <w:rPr>
          <w:b/>
          <w:bCs/>
          <w:color w:val="auto"/>
          <w:lang w:val="pl-PL"/>
        </w:rPr>
        <w:t xml:space="preserve">Wymagania </w:t>
      </w:r>
      <w:r w:rsidR="00ED419E" w:rsidRPr="00770D48">
        <w:rPr>
          <w:b/>
          <w:bCs/>
          <w:color w:val="auto"/>
          <w:lang w:val="pl-PL"/>
        </w:rPr>
        <w:t>wobec</w:t>
      </w:r>
      <w:r w:rsidR="00B03C00">
        <w:rPr>
          <w:b/>
          <w:bCs/>
          <w:color w:val="auto"/>
          <w:lang w:val="pl-PL"/>
        </w:rPr>
        <w:t xml:space="preserve"> </w:t>
      </w:r>
      <w:r w:rsidR="00ED419E" w:rsidRPr="00770D48">
        <w:rPr>
          <w:b/>
          <w:bCs/>
          <w:color w:val="auto"/>
          <w:lang w:val="pl-PL"/>
        </w:rPr>
        <w:t>oznakowania</w:t>
      </w:r>
      <w:r w:rsidRPr="00770D48">
        <w:rPr>
          <w:b/>
          <w:bCs/>
          <w:color w:val="auto"/>
          <w:lang w:val="pl-PL"/>
        </w:rPr>
        <w:t xml:space="preserve"> poziomego</w:t>
      </w:r>
    </w:p>
    <w:p w:rsidR="00653618" w:rsidRPr="00770D48" w:rsidRDefault="00653618" w:rsidP="00A90DA2">
      <w:pPr>
        <w:pStyle w:val="Nagwek4"/>
        <w:tabs>
          <w:tab w:val="left" w:pos="851"/>
        </w:tabs>
        <w:ind w:left="1701" w:right="208" w:hanging="850"/>
        <w:jc w:val="both"/>
        <w:rPr>
          <w:rFonts w:ascii="Verdana" w:hAnsi="Verdana"/>
          <w:i w:val="0"/>
          <w:iCs w:val="0"/>
          <w:color w:val="auto"/>
          <w:sz w:val="18"/>
          <w:szCs w:val="18"/>
          <w:lang w:val="pl-PL"/>
        </w:rPr>
      </w:pPr>
      <w:r w:rsidRPr="00770D48">
        <w:rPr>
          <w:rFonts w:ascii="Verdana" w:hAnsi="Verdana"/>
          <w:i w:val="0"/>
          <w:iCs w:val="0"/>
          <w:color w:val="auto"/>
          <w:sz w:val="18"/>
          <w:szCs w:val="18"/>
          <w:lang w:val="pl-PL"/>
        </w:rPr>
        <w:t>Widzialność w dzień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Widzialność oznakowania w dzień jest określona współczynnikiem luminancji b i barwą oznakowania wyrażoną współrzędnymi chromatyczności.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Barwa oznakowania powinna być określona wg PN-EN 1436 przez współrzędne chromatyczności x </w:t>
      </w:r>
      <w:r w:rsidR="00770D48" w:rsidRPr="00770D48">
        <w:rPr>
          <w:rFonts w:ascii="Verdana" w:hAnsi="Verdana" w:cs="Verdana"/>
          <w:sz w:val="18"/>
          <w:szCs w:val="18"/>
          <w:lang w:val="pl-PL"/>
        </w:rPr>
        <w:t>i </w:t>
      </w:r>
      <w:r w:rsidRPr="00770D48">
        <w:rPr>
          <w:rFonts w:ascii="Verdana" w:hAnsi="Verdana" w:cs="Verdana"/>
          <w:sz w:val="18"/>
          <w:szCs w:val="18"/>
          <w:lang w:val="pl-PL"/>
        </w:rPr>
        <w:t>y, które dla suchego oznakowania powinny leżeć w obszarze zdefiniowanym przez cztery punkty narożne podane w tablicy 2 i rysunku nr 1 w normie PN-EN 1436.</w:t>
      </w:r>
    </w:p>
    <w:p w:rsidR="00ED419E" w:rsidRPr="00770D48" w:rsidRDefault="00ED419E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i/>
          <w:iCs/>
          <w:sz w:val="16"/>
          <w:szCs w:val="16"/>
          <w:lang w:val="pl-PL"/>
        </w:rPr>
      </w:pPr>
      <w:r w:rsidRPr="00770D48">
        <w:rPr>
          <w:rFonts w:ascii="Verdana" w:hAnsi="Verdana" w:cs="Verdana"/>
          <w:i/>
          <w:iCs/>
          <w:sz w:val="16"/>
          <w:szCs w:val="16"/>
          <w:lang w:val="pl-PL"/>
        </w:rPr>
        <w:t xml:space="preserve">Tabela </w:t>
      </w:r>
      <w:r w:rsidR="00002C3F" w:rsidRPr="00770D48">
        <w:rPr>
          <w:rFonts w:ascii="Verdana" w:hAnsi="Verdana" w:cs="Verdana"/>
          <w:i/>
          <w:iCs/>
          <w:sz w:val="16"/>
          <w:szCs w:val="16"/>
          <w:lang w:val="pl-PL"/>
        </w:rPr>
        <w:fldChar w:fldCharType="begin"/>
      </w:r>
      <w:r w:rsidRPr="00770D48">
        <w:rPr>
          <w:rFonts w:ascii="Verdana" w:hAnsi="Verdana" w:cs="Verdana"/>
          <w:i/>
          <w:iCs/>
          <w:sz w:val="16"/>
          <w:szCs w:val="16"/>
          <w:lang w:val="pl-PL"/>
        </w:rPr>
        <w:instrText xml:space="preserve"> SEQ Tabela \* ARABIC </w:instrText>
      </w:r>
      <w:r w:rsidR="00002C3F" w:rsidRPr="00770D48">
        <w:rPr>
          <w:rFonts w:ascii="Verdana" w:hAnsi="Verdana" w:cs="Verdana"/>
          <w:i/>
          <w:iCs/>
          <w:sz w:val="16"/>
          <w:szCs w:val="16"/>
          <w:lang w:val="pl-PL"/>
        </w:rPr>
        <w:fldChar w:fldCharType="separate"/>
      </w:r>
      <w:r w:rsidR="00C71C02">
        <w:rPr>
          <w:rFonts w:ascii="Verdana" w:hAnsi="Verdana" w:cs="Verdana"/>
          <w:i/>
          <w:iCs/>
          <w:noProof/>
          <w:sz w:val="16"/>
          <w:szCs w:val="16"/>
          <w:lang w:val="pl-PL"/>
        </w:rPr>
        <w:t>4</w:t>
      </w:r>
      <w:r w:rsidR="00002C3F" w:rsidRPr="00770D48">
        <w:rPr>
          <w:rFonts w:ascii="Verdana" w:hAnsi="Verdana" w:cs="Verdana"/>
          <w:i/>
          <w:iCs/>
          <w:sz w:val="16"/>
          <w:szCs w:val="16"/>
          <w:lang w:val="pl-PL"/>
        </w:rPr>
        <w:fldChar w:fldCharType="end"/>
      </w:r>
      <w:r w:rsidRPr="00770D48">
        <w:rPr>
          <w:rFonts w:ascii="Verdana" w:hAnsi="Verdana" w:cs="Verdana"/>
          <w:i/>
          <w:iCs/>
          <w:sz w:val="16"/>
          <w:szCs w:val="16"/>
          <w:lang w:val="pl-PL"/>
        </w:rPr>
        <w:t xml:space="preserve"> Punkty narożne obszarów chromatyczności oznakowań dróg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1"/>
        <w:gridCol w:w="591"/>
        <w:gridCol w:w="682"/>
        <w:gridCol w:w="682"/>
        <w:gridCol w:w="682"/>
        <w:gridCol w:w="682"/>
      </w:tblGrid>
      <w:tr w:rsidR="00653618" w:rsidRPr="00887E78" w:rsidTr="00887E78">
        <w:trPr>
          <w:trHeight w:val="20"/>
          <w:jc w:val="center"/>
        </w:trPr>
        <w:tc>
          <w:tcPr>
            <w:tcW w:w="0" w:type="auto"/>
            <w:gridSpan w:val="2"/>
            <w:shd w:val="clear" w:color="auto" w:fill="auto"/>
          </w:tcPr>
          <w:p w:rsidR="00653618" w:rsidRPr="00887E78" w:rsidRDefault="00653618" w:rsidP="00401A3C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Punkt narożny nr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2"/>
                <w:rFonts w:ascii="Verdana" w:hAnsi="Verdana"/>
                <w:color w:val="000000"/>
                <w:sz w:val="16"/>
                <w:szCs w:val="16"/>
                <w:lang w:val="pl-PL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4</w:t>
            </w:r>
          </w:p>
        </w:tc>
      </w:tr>
      <w:tr w:rsidR="00653618" w:rsidRPr="00887E78" w:rsidTr="00887E78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653618" w:rsidRPr="00887E78" w:rsidRDefault="00653618" w:rsidP="00401A3C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sz w:val="16"/>
                <w:szCs w:val="16"/>
                <w:lang w:val="pl-PL"/>
              </w:rPr>
              <w:lastRenderedPageBreak/>
              <w:t>Oznakowanie białe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437"/>
                <w:tab w:val="left" w:pos="567"/>
                <w:tab w:val="left" w:pos="737"/>
              </w:tabs>
              <w:spacing w:after="0" w:line="240" w:lineRule="auto"/>
              <w:ind w:left="280" w:firstLine="0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sz w:val="16"/>
                <w:szCs w:val="16"/>
                <w:lang w:val="pl-PL"/>
              </w:rPr>
              <w:t>x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sz w:val="16"/>
                <w:szCs w:val="16"/>
                <w:lang w:val="pl-PL"/>
              </w:rPr>
              <w:t>0,355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sz w:val="16"/>
                <w:szCs w:val="16"/>
                <w:lang w:val="pl-PL"/>
              </w:rPr>
              <w:t>0,305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sz w:val="16"/>
                <w:szCs w:val="16"/>
                <w:lang w:val="pl-PL"/>
              </w:rPr>
              <w:t>0,285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sz w:val="16"/>
                <w:szCs w:val="16"/>
                <w:lang w:val="pl-PL"/>
              </w:rPr>
              <w:t>0,335</w:t>
            </w:r>
          </w:p>
        </w:tc>
      </w:tr>
      <w:tr w:rsidR="00653618" w:rsidRPr="00887E78" w:rsidTr="00887E7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:rsidR="00653618" w:rsidRPr="00887E78" w:rsidRDefault="00653618" w:rsidP="00401A3C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437"/>
                <w:tab w:val="left" w:pos="567"/>
                <w:tab w:val="left" w:pos="737"/>
              </w:tabs>
              <w:spacing w:after="0" w:line="240" w:lineRule="auto"/>
              <w:ind w:left="280" w:firstLine="0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sz w:val="16"/>
                <w:szCs w:val="16"/>
                <w:lang w:val="pl-PL"/>
              </w:rPr>
              <w:t>y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sz w:val="16"/>
                <w:szCs w:val="16"/>
                <w:lang w:val="pl-PL"/>
              </w:rPr>
              <w:t>0,355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sz w:val="16"/>
                <w:szCs w:val="16"/>
                <w:lang w:val="pl-PL"/>
              </w:rPr>
              <w:t>0,305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sz w:val="16"/>
                <w:szCs w:val="16"/>
                <w:lang w:val="pl-PL"/>
              </w:rPr>
              <w:t>0,325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sz w:val="16"/>
                <w:szCs w:val="16"/>
                <w:lang w:val="pl-PL"/>
              </w:rPr>
              <w:t>0,375</w:t>
            </w:r>
          </w:p>
        </w:tc>
      </w:tr>
      <w:tr w:rsidR="00653618" w:rsidRPr="00887E78" w:rsidTr="00887E78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653618" w:rsidRPr="00887E78" w:rsidRDefault="00653618" w:rsidP="00401A3C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Oznakowanie żółte klasa Y1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437"/>
                <w:tab w:val="left" w:pos="567"/>
                <w:tab w:val="left" w:pos="737"/>
              </w:tabs>
              <w:spacing w:after="0" w:line="240" w:lineRule="auto"/>
              <w:ind w:left="280" w:firstLine="0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x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0,443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0,545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0,465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0,389</w:t>
            </w:r>
          </w:p>
        </w:tc>
      </w:tr>
      <w:tr w:rsidR="00653618" w:rsidRPr="00887E78" w:rsidTr="00887E7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:rsidR="00653618" w:rsidRPr="00887E78" w:rsidRDefault="00653618" w:rsidP="00401A3C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437"/>
                <w:tab w:val="left" w:pos="567"/>
                <w:tab w:val="left" w:pos="737"/>
              </w:tabs>
              <w:spacing w:after="0" w:line="240" w:lineRule="auto"/>
              <w:ind w:left="280" w:firstLine="0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y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0,399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0,</w:t>
            </w: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 w:eastAsia="pl-PL"/>
              </w:rPr>
              <w:t>455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0,</w:t>
            </w: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 w:eastAsia="pl-PL"/>
              </w:rPr>
              <w:t>535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0,431</w:t>
            </w:r>
          </w:p>
        </w:tc>
      </w:tr>
      <w:tr w:rsidR="00653618" w:rsidRPr="00887E78" w:rsidTr="00887E78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653618" w:rsidRPr="00887E78" w:rsidRDefault="00653618" w:rsidP="00401A3C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Oznakowanie żółte klasa Y2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437"/>
                <w:tab w:val="left" w:pos="567"/>
                <w:tab w:val="left" w:pos="737"/>
              </w:tabs>
              <w:spacing w:after="0" w:line="240" w:lineRule="auto"/>
              <w:ind w:left="280" w:firstLine="0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x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0,494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0,545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0,465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0,427</w:t>
            </w:r>
          </w:p>
        </w:tc>
      </w:tr>
      <w:tr w:rsidR="00653618" w:rsidRPr="00887E78" w:rsidTr="00887E7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:rsidR="00653618" w:rsidRPr="00887E78" w:rsidRDefault="00653618" w:rsidP="00401A3C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437"/>
                <w:tab w:val="left" w:pos="567"/>
                <w:tab w:val="left" w:pos="737"/>
              </w:tabs>
              <w:spacing w:after="0" w:line="240" w:lineRule="auto"/>
              <w:ind w:left="280" w:firstLine="0"/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y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0,427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0,</w:t>
            </w: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 w:eastAsia="pl-PL"/>
              </w:rPr>
              <w:t>455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0,</w:t>
            </w: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 w:eastAsia="pl-PL"/>
              </w:rPr>
              <w:t>535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53618" w:rsidRPr="00887E78" w:rsidRDefault="00653618" w:rsidP="00401A3C">
            <w:pPr>
              <w:pStyle w:val="Teksttreci21"/>
              <w:shd w:val="clear" w:color="auto" w:fill="auto"/>
              <w:tabs>
                <w:tab w:val="left" w:pos="397"/>
                <w:tab w:val="left" w:pos="567"/>
                <w:tab w:val="left" w:pos="737"/>
              </w:tabs>
              <w:spacing w:after="0"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887E78">
              <w:rPr>
                <w:rStyle w:val="Teksttreci23"/>
                <w:rFonts w:ascii="Verdana" w:hAnsi="Verdana"/>
                <w:color w:val="000000"/>
                <w:sz w:val="16"/>
                <w:szCs w:val="16"/>
                <w:lang w:val="pl-PL"/>
              </w:rPr>
              <w:t>0,483</w:t>
            </w:r>
          </w:p>
        </w:tc>
      </w:tr>
    </w:tbl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Pomiar współczynnika luminancji b może być zastąpiony pomiarem współczynnika luminancji w</w:t>
      </w:r>
      <w:r w:rsidR="00ED419E" w:rsidRP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świetle rozproszonym 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Qd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 xml:space="preserve">, wg PN-EN 1436.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Wymagania dla widzialności w dzień podano w tablicy 3 lub tablicy 4 w zależności o prędkości ruchu na drodze.</w:t>
      </w:r>
    </w:p>
    <w:p w:rsidR="00653618" w:rsidRPr="00770D48" w:rsidRDefault="00653618" w:rsidP="00A90DA2">
      <w:pPr>
        <w:pStyle w:val="Nagwek4"/>
        <w:tabs>
          <w:tab w:val="left" w:pos="851"/>
        </w:tabs>
        <w:ind w:left="1701" w:right="208" w:hanging="850"/>
        <w:jc w:val="both"/>
        <w:rPr>
          <w:rFonts w:ascii="Verdana" w:hAnsi="Verdana"/>
          <w:i w:val="0"/>
          <w:iCs w:val="0"/>
          <w:color w:val="auto"/>
          <w:sz w:val="18"/>
          <w:szCs w:val="18"/>
          <w:lang w:val="pl-PL"/>
        </w:rPr>
      </w:pPr>
      <w:r w:rsidRPr="00770D48">
        <w:rPr>
          <w:rFonts w:ascii="Verdana" w:hAnsi="Verdana"/>
          <w:i w:val="0"/>
          <w:iCs w:val="0"/>
          <w:color w:val="auto"/>
          <w:sz w:val="18"/>
          <w:szCs w:val="18"/>
          <w:lang w:val="pl-PL"/>
        </w:rPr>
        <w:t>Widzialność w nocy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Za miarę widzialności w nocy przyjęto powierzchniowy współczynnik odblasku RL, określany według PN-EN 1436 z uwzględnieniem podziału na klasy PN-EN 1436/A1:2005.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Wymagania dla widzialności w nocy podano w tablicy 3 lub tablicy 4 w zależności o prędkości ruchu na drodze. Dotyczą one jedynie oznakowań profilowanych, takich jak oznakowanie strukturalne wykonywane masami termoplastycznymi, masami chemoutwardzalnymi i taśmami. Wykonywanie pomiarów odblaskowości na pozostałych typach oznakowania strukturalnego, z uwagi na jego niecałkowite i niejednorodne pokrycie powierzchni oznakowania, jest obarczone większym błędem 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niżna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 xml:space="preserve"> 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oznakowaniach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 xml:space="preserve"> pełnych. Dlatego podczas odbioru czy kontroli, należy przyjąć jako dopuszczalne wartości współczynnika odblasku o 20 % niższe od przyjętych w </w:t>
      </w:r>
      <w:r w:rsidR="00ED419E" w:rsidRPr="00770D48">
        <w:rPr>
          <w:rFonts w:ascii="Verdana" w:hAnsi="Verdana" w:cs="Verdana"/>
          <w:sz w:val="18"/>
          <w:szCs w:val="18"/>
          <w:lang w:val="pl-PL"/>
        </w:rPr>
        <w:t>ST</w:t>
      </w:r>
      <w:r w:rsidRPr="00770D48">
        <w:rPr>
          <w:rFonts w:ascii="Verdana" w:hAnsi="Verdana" w:cs="Verdana"/>
          <w:sz w:val="18"/>
          <w:szCs w:val="18"/>
          <w:lang w:val="pl-PL"/>
        </w:rPr>
        <w:t>WiORB.</w:t>
      </w:r>
    </w:p>
    <w:p w:rsidR="00653618" w:rsidRPr="00770D48" w:rsidRDefault="00653618" w:rsidP="00A90DA2">
      <w:pPr>
        <w:pStyle w:val="Nagwek4"/>
        <w:tabs>
          <w:tab w:val="left" w:pos="851"/>
        </w:tabs>
        <w:ind w:left="1701" w:right="208" w:hanging="850"/>
        <w:jc w:val="both"/>
        <w:rPr>
          <w:rFonts w:ascii="Verdana" w:hAnsi="Verdana"/>
          <w:i w:val="0"/>
          <w:iCs w:val="0"/>
          <w:color w:val="auto"/>
          <w:sz w:val="18"/>
          <w:szCs w:val="18"/>
          <w:lang w:val="pl-PL"/>
        </w:rPr>
      </w:pPr>
      <w:r w:rsidRPr="00770D48">
        <w:rPr>
          <w:rFonts w:ascii="Verdana" w:hAnsi="Verdana"/>
          <w:i w:val="0"/>
          <w:iCs w:val="0"/>
          <w:color w:val="auto"/>
          <w:sz w:val="18"/>
          <w:szCs w:val="18"/>
          <w:lang w:val="pl-PL"/>
        </w:rPr>
        <w:t>Szorstkość oznakowania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Miarą szorstkości oznakowania jest wartość wskaźnika szorstkości SRT (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SkidResistance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 xml:space="preserve"> Tester) mierzona wahadłem angielskim, wg PN-EN 1436. Wartość SRT symuluje warunki, w których pojazd wyposażony w typowe opony hamuje z blokadą kół przy prędkości 50 km/h na mokrej nawierzchni.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Do badania szorstkości oznakowania może być również wykorzystany tester tarcia nawierzchni asfaltowego T2GO.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Wykonywanie pomiarów wskaźnika szorstkości SRT dotyczy oznakowań jednolitych, płaskich, wykonanych farbami, masami termoplastycznymi, masami chemoutwardzalnymi i taśmami. Pomiar na oznakowaniu strukturalnym jest, jeśli możliwy, to nie miarodajny. W przypadku oznakowania z</w:t>
      </w:r>
      <w:r w:rsidR="00770D48" w:rsidRPr="00770D48">
        <w:rPr>
          <w:rFonts w:ascii="Verdana" w:hAnsi="Verdana" w:cs="Verdana"/>
          <w:sz w:val="18"/>
          <w:szCs w:val="18"/>
          <w:lang w:val="pl-PL"/>
        </w:rPr>
        <w:t> 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wygarbieniami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 xml:space="preserve"> i punktowymi elementami odblaskowymi pomiar nie jest możliwy.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Wymagania dla szorstkości oznakowania w nocy podano w tablicy 3 lub tablicy 4 w zależności o</w:t>
      </w:r>
      <w:r w:rsidR="00770D48" w:rsidRP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prędkości ruchu na drodze.</w:t>
      </w:r>
    </w:p>
    <w:p w:rsidR="00653618" w:rsidRPr="00770D48" w:rsidRDefault="00653618" w:rsidP="00A90DA2">
      <w:pPr>
        <w:pStyle w:val="Nagwek4"/>
        <w:tabs>
          <w:tab w:val="left" w:pos="851"/>
        </w:tabs>
        <w:ind w:left="1701" w:right="208" w:hanging="850"/>
        <w:jc w:val="both"/>
        <w:rPr>
          <w:rFonts w:ascii="Verdana" w:hAnsi="Verdana"/>
          <w:i w:val="0"/>
          <w:iCs w:val="0"/>
          <w:color w:val="auto"/>
          <w:sz w:val="18"/>
          <w:szCs w:val="18"/>
          <w:lang w:val="pl-PL"/>
        </w:rPr>
      </w:pPr>
      <w:r w:rsidRPr="00770D48">
        <w:rPr>
          <w:rFonts w:ascii="Verdana" w:hAnsi="Verdana"/>
          <w:i w:val="0"/>
          <w:iCs w:val="0"/>
          <w:color w:val="auto"/>
          <w:sz w:val="18"/>
          <w:szCs w:val="18"/>
          <w:lang w:val="pl-PL"/>
        </w:rPr>
        <w:t>Trwałość oznakowania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Trwałość oznakowania oceniana jako stopień zużycia w 10-stopniowej skali na zasadzie porównania z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wzorcami, wg POD-97, powinna wynosić po 12-miesięcznym okresie eksploatacji oznakowania wykonanego materiałami termoplastycznymi co najmniej 6.</w:t>
      </w:r>
    </w:p>
    <w:p w:rsidR="00653618" w:rsidRPr="00770D48" w:rsidRDefault="00653618" w:rsidP="00A90DA2">
      <w:pPr>
        <w:pStyle w:val="Nagwek4"/>
        <w:tabs>
          <w:tab w:val="left" w:pos="851"/>
        </w:tabs>
        <w:ind w:left="1701" w:right="208" w:hanging="850"/>
        <w:jc w:val="both"/>
        <w:rPr>
          <w:rFonts w:ascii="Verdana" w:hAnsi="Verdana"/>
          <w:i w:val="0"/>
          <w:iCs w:val="0"/>
          <w:color w:val="auto"/>
          <w:sz w:val="18"/>
          <w:szCs w:val="18"/>
          <w:lang w:val="pl-PL"/>
        </w:rPr>
      </w:pPr>
      <w:r w:rsidRPr="00770D48">
        <w:rPr>
          <w:rFonts w:ascii="Verdana" w:hAnsi="Verdana"/>
          <w:i w:val="0"/>
          <w:iCs w:val="0"/>
          <w:color w:val="auto"/>
          <w:sz w:val="18"/>
          <w:szCs w:val="18"/>
          <w:lang w:val="pl-PL"/>
        </w:rPr>
        <w:t xml:space="preserve">Czas schnięcia </w:t>
      </w:r>
      <w:r w:rsidR="00ED419E" w:rsidRPr="00770D48">
        <w:rPr>
          <w:rFonts w:ascii="Verdana" w:hAnsi="Verdana"/>
          <w:i w:val="0"/>
          <w:iCs w:val="0"/>
          <w:color w:val="auto"/>
          <w:sz w:val="18"/>
          <w:szCs w:val="18"/>
          <w:lang w:val="pl-PL"/>
        </w:rPr>
        <w:t>oznakowania</w:t>
      </w:r>
      <w:r w:rsidRPr="00770D48">
        <w:rPr>
          <w:rFonts w:ascii="Verdana" w:hAnsi="Verdana"/>
          <w:i w:val="0"/>
          <w:iCs w:val="0"/>
          <w:color w:val="auto"/>
          <w:sz w:val="18"/>
          <w:szCs w:val="18"/>
          <w:lang w:val="pl-PL"/>
        </w:rPr>
        <w:t xml:space="preserve"> (wzgl. czas przejezdności oznakowania)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Za czas schnięcia oznakowania przyjmuje się czas upływający między wykonaniem oznakowania jego oddaniem do ruchu. Czas schnięcia oznakowania nie powinien przekraczać czasu gwarantowanego przez producenta.</w:t>
      </w:r>
    </w:p>
    <w:p w:rsidR="00653618" w:rsidRPr="00770D48" w:rsidRDefault="00653618" w:rsidP="00A90DA2">
      <w:pPr>
        <w:pStyle w:val="Nagwek4"/>
        <w:tabs>
          <w:tab w:val="left" w:pos="851"/>
        </w:tabs>
        <w:ind w:left="1701" w:right="208" w:hanging="850"/>
        <w:jc w:val="both"/>
        <w:rPr>
          <w:rFonts w:ascii="Verdana" w:hAnsi="Verdana"/>
          <w:i w:val="0"/>
          <w:iCs w:val="0"/>
          <w:color w:val="auto"/>
          <w:sz w:val="18"/>
          <w:szCs w:val="18"/>
          <w:lang w:val="pl-PL"/>
        </w:rPr>
      </w:pPr>
      <w:r w:rsidRPr="00770D48">
        <w:rPr>
          <w:rFonts w:ascii="Verdana" w:hAnsi="Verdana"/>
          <w:i w:val="0"/>
          <w:iCs w:val="0"/>
          <w:color w:val="auto"/>
          <w:sz w:val="18"/>
          <w:szCs w:val="18"/>
          <w:lang w:val="pl-PL"/>
        </w:rPr>
        <w:t>Grubość oznakowania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Grubość oznakowania, tj. podwyższenie ponad górną powierzchnię nawierzchni, powinna wynosić dla: </w:t>
      </w:r>
    </w:p>
    <w:p w:rsidR="00653618" w:rsidRPr="00770D48" w:rsidRDefault="00653618" w:rsidP="00A90DA2">
      <w:pPr>
        <w:pStyle w:val="Akapitzlist"/>
        <w:numPr>
          <w:ilvl w:val="0"/>
          <w:numId w:val="13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oznakowania cienkowarstwowego (grubość na mokro bez kulek szklanych), co najwyżej 0,89 mm, </w:t>
      </w:r>
    </w:p>
    <w:p w:rsidR="00653618" w:rsidRPr="00770D48" w:rsidRDefault="00653618" w:rsidP="00A90DA2">
      <w:pPr>
        <w:pStyle w:val="Akapitzlist"/>
        <w:numPr>
          <w:ilvl w:val="0"/>
          <w:numId w:val="13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grubowarstwowego, co najmniej 0,90 mm i co najwyżej 5 mm. </w:t>
      </w:r>
    </w:p>
    <w:p w:rsidR="00653618" w:rsidRPr="00770D48" w:rsidRDefault="00653618" w:rsidP="00A90DA2">
      <w:pPr>
        <w:pStyle w:val="Nagwek4"/>
        <w:tabs>
          <w:tab w:val="left" w:pos="851"/>
        </w:tabs>
        <w:ind w:left="1701" w:right="208" w:hanging="850"/>
        <w:jc w:val="both"/>
        <w:rPr>
          <w:rFonts w:ascii="Verdana" w:hAnsi="Verdana"/>
          <w:i w:val="0"/>
          <w:iCs w:val="0"/>
          <w:color w:val="auto"/>
          <w:sz w:val="18"/>
          <w:szCs w:val="18"/>
          <w:lang w:val="pl-PL"/>
        </w:rPr>
      </w:pPr>
      <w:r w:rsidRPr="00770D48">
        <w:rPr>
          <w:rFonts w:ascii="Verdana" w:hAnsi="Verdana"/>
          <w:i w:val="0"/>
          <w:iCs w:val="0"/>
          <w:color w:val="auto"/>
          <w:sz w:val="18"/>
          <w:szCs w:val="18"/>
          <w:lang w:val="pl-PL"/>
        </w:rPr>
        <w:t xml:space="preserve">Badania wykonania </w:t>
      </w:r>
      <w:r w:rsidR="00ED419E" w:rsidRPr="00770D48">
        <w:rPr>
          <w:rFonts w:ascii="Verdana" w:hAnsi="Verdana"/>
          <w:i w:val="0"/>
          <w:iCs w:val="0"/>
          <w:color w:val="auto"/>
          <w:sz w:val="18"/>
          <w:szCs w:val="18"/>
          <w:lang w:val="pl-PL"/>
        </w:rPr>
        <w:t>oznakowania</w:t>
      </w:r>
      <w:r w:rsidRPr="00770D48">
        <w:rPr>
          <w:rFonts w:ascii="Verdana" w:hAnsi="Verdana"/>
          <w:i w:val="0"/>
          <w:iCs w:val="0"/>
          <w:color w:val="auto"/>
          <w:sz w:val="18"/>
          <w:szCs w:val="18"/>
          <w:lang w:val="pl-PL"/>
        </w:rPr>
        <w:t xml:space="preserve"> poziomego z materiału grubowarstwowego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Wykonawca wykonując znakowanie poziome z materiału grubowarstwowego przeprowadza przed rozpoczęciem każdej pracy oraz w czasie jej wykonywania, co najmniej raz dziennie, lub zgodnie z</w:t>
      </w:r>
      <w:r w:rsidR="00ED419E" w:rsidRP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ustaleniem </w:t>
      </w:r>
      <w:r w:rsidR="00ED419E" w:rsidRPr="00770D48">
        <w:rPr>
          <w:rFonts w:ascii="Verdana" w:hAnsi="Verdana" w:cs="Verdana"/>
          <w:sz w:val="18"/>
          <w:szCs w:val="18"/>
          <w:lang w:val="pl-PL"/>
        </w:rPr>
        <w:t>ST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WiORB, następujące badania: </w:t>
      </w:r>
    </w:p>
    <w:p w:rsidR="00653618" w:rsidRPr="00770D48" w:rsidRDefault="00653618" w:rsidP="00A90DA2">
      <w:pPr>
        <w:pStyle w:val="Akapitzlist"/>
        <w:numPr>
          <w:ilvl w:val="0"/>
          <w:numId w:val="11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przed rozpoczęciem pracy: </w:t>
      </w:r>
    </w:p>
    <w:p w:rsidR="00653618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sprawdzenie oznakowania opakowań, </w:t>
      </w:r>
    </w:p>
    <w:p w:rsidR="00653618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wizualną ocenę stanu materiału, w zakresie jego jednorodności i widocznych wad, </w:t>
      </w:r>
    </w:p>
    <w:p w:rsidR="00653618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lastRenderedPageBreak/>
        <w:t xml:space="preserve">pomiar wilgotności względnej powietrza, </w:t>
      </w:r>
    </w:p>
    <w:p w:rsidR="00653618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pomiar temperatury powietrza i nawierzchni, </w:t>
      </w:r>
    </w:p>
    <w:p w:rsidR="00653618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badanie lepkości farby (cienkowarstwowej), wg POD-97, </w:t>
      </w:r>
    </w:p>
    <w:p w:rsidR="00653618" w:rsidRPr="00770D48" w:rsidRDefault="00653618" w:rsidP="00A90DA2">
      <w:pPr>
        <w:pStyle w:val="Akapitzlist"/>
        <w:numPr>
          <w:ilvl w:val="0"/>
          <w:numId w:val="11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 czasie wykonywania pracy: </w:t>
      </w:r>
    </w:p>
    <w:p w:rsidR="00653618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pomiar grubości warstwy oznakowania, </w:t>
      </w:r>
    </w:p>
    <w:p w:rsidR="00653618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pomiar czasu schnięcia, wg POD-97, </w:t>
      </w:r>
    </w:p>
    <w:p w:rsidR="00653618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wizualną ocenę równomierności rozłożenia kulek szklanych, </w:t>
      </w:r>
    </w:p>
    <w:p w:rsidR="00653618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pomiar zgodności poziomych wymiarów oznakowania z Dokumentacją Projektową, </w:t>
      </w:r>
    </w:p>
    <w:p w:rsidR="00653618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wizualną ocenę równomierności skropienia (rozłożenia materiału) na całej szerokości linii, </w:t>
      </w:r>
    </w:p>
    <w:p w:rsidR="00653618" w:rsidRPr="00770D48" w:rsidRDefault="00653618" w:rsidP="00A90DA2">
      <w:pPr>
        <w:pStyle w:val="Akapitzlist"/>
        <w:numPr>
          <w:ilvl w:val="1"/>
          <w:numId w:val="11"/>
        </w:numPr>
        <w:spacing w:before="60" w:after="60" w:line="276" w:lineRule="auto"/>
        <w:ind w:left="1985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oznaczenia czasu przejezdności, wg POD-97.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Do odbioru Wykonawca przedłoży Inżynierowi wyniki badań wykonanego oznakowania w zakresie barwy, widzialności w dzień i w nocy oraz szorstkości. W przypadku wątpliwości dotyczących wykonania oznakowania poziomego, Inżynier może zlecić wykonanie badań sprawdzających: </w:t>
      </w:r>
    </w:p>
    <w:p w:rsidR="00653618" w:rsidRPr="00770D48" w:rsidRDefault="00653618" w:rsidP="00A90DA2">
      <w:pPr>
        <w:pStyle w:val="Akapitzlist"/>
        <w:numPr>
          <w:ilvl w:val="0"/>
          <w:numId w:val="14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widzialności w dzień, </w:t>
      </w:r>
    </w:p>
    <w:p w:rsidR="00653618" w:rsidRPr="00770D48" w:rsidRDefault="00653618" w:rsidP="00A90DA2">
      <w:pPr>
        <w:pStyle w:val="Akapitzlist"/>
        <w:numPr>
          <w:ilvl w:val="0"/>
          <w:numId w:val="14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widzialności w nocy, </w:t>
      </w:r>
    </w:p>
    <w:p w:rsidR="00653618" w:rsidRPr="00770D48" w:rsidRDefault="00653618" w:rsidP="00A90DA2">
      <w:pPr>
        <w:pStyle w:val="Akapitzlist"/>
        <w:numPr>
          <w:ilvl w:val="0"/>
          <w:numId w:val="14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szorstkości, </w:t>
      </w:r>
    </w:p>
    <w:p w:rsidR="00653618" w:rsidRPr="00770D48" w:rsidRDefault="0065361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odpowiadających wymaganiom podanym w punkcie 6.4.1 i wykonanych według metod określonych w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„Warunkach technicznych POD-97”. Jeżeli wyniki tych badań wykażą wadliwość wykonanego oznakowania to koszt badań ponosi Wykonawca, w przypadku przeciwnym – Zamawiający.</w:t>
      </w:r>
    </w:p>
    <w:p w:rsidR="00653618" w:rsidRPr="00770D48" w:rsidRDefault="00653618" w:rsidP="00A90DA2">
      <w:pPr>
        <w:pStyle w:val="Nagwek4"/>
        <w:tabs>
          <w:tab w:val="left" w:pos="851"/>
        </w:tabs>
        <w:ind w:left="1701" w:right="208" w:hanging="850"/>
        <w:jc w:val="both"/>
        <w:rPr>
          <w:rFonts w:ascii="Verdana" w:hAnsi="Verdana"/>
          <w:i w:val="0"/>
          <w:iCs w:val="0"/>
          <w:color w:val="auto"/>
          <w:sz w:val="18"/>
          <w:szCs w:val="18"/>
          <w:lang w:val="pl-PL"/>
        </w:rPr>
      </w:pPr>
      <w:r w:rsidRPr="00770D48">
        <w:rPr>
          <w:rFonts w:ascii="Verdana" w:hAnsi="Verdana"/>
          <w:i w:val="0"/>
          <w:iCs w:val="0"/>
          <w:color w:val="auto"/>
          <w:sz w:val="18"/>
          <w:szCs w:val="18"/>
          <w:lang w:val="pl-PL"/>
        </w:rPr>
        <w:t>Zestawienie wymagań dla oznakowania poziomego</w:t>
      </w:r>
    </w:p>
    <w:p w:rsidR="00653618" w:rsidRPr="00770D48" w:rsidRDefault="00653618" w:rsidP="00B03C00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 tablicy </w:t>
      </w:r>
      <w:r w:rsidR="00B03C00">
        <w:rPr>
          <w:rFonts w:ascii="Verdana" w:hAnsi="Verdana" w:cs="Verdana"/>
          <w:sz w:val="18"/>
          <w:szCs w:val="18"/>
          <w:lang w:val="pl-PL"/>
        </w:rPr>
        <w:t>5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 podano zbiorcze z</w:t>
      </w:r>
      <w:r w:rsidR="00B03C00">
        <w:rPr>
          <w:rFonts w:ascii="Verdana" w:hAnsi="Verdana" w:cs="Verdana"/>
          <w:sz w:val="18"/>
          <w:szCs w:val="18"/>
          <w:lang w:val="pl-PL"/>
        </w:rPr>
        <w:t>estawienie dla oznakowań na drodze powiatowej.</w:t>
      </w:r>
    </w:p>
    <w:p w:rsidR="00F221DF" w:rsidRPr="00770D48" w:rsidRDefault="00F221DF" w:rsidP="00F221DF">
      <w:pPr>
        <w:spacing w:before="60" w:after="60" w:line="276" w:lineRule="auto"/>
        <w:ind w:left="851" w:right="420"/>
        <w:jc w:val="both"/>
        <w:rPr>
          <w:rFonts w:ascii="Verdana" w:hAnsi="Verdana" w:cs="Verdana"/>
          <w:i/>
          <w:iCs/>
          <w:sz w:val="16"/>
          <w:szCs w:val="16"/>
          <w:lang w:val="pl-PL"/>
        </w:rPr>
      </w:pPr>
      <w:r w:rsidRPr="00770D48">
        <w:rPr>
          <w:rFonts w:ascii="Verdana" w:hAnsi="Verdana" w:cs="Verdana"/>
          <w:i/>
          <w:iCs/>
          <w:sz w:val="16"/>
          <w:szCs w:val="16"/>
          <w:lang w:val="pl-PL"/>
        </w:rPr>
        <w:t xml:space="preserve">Tabela </w:t>
      </w:r>
      <w:r w:rsidR="00B03C00">
        <w:rPr>
          <w:rFonts w:ascii="Verdana" w:hAnsi="Verdana" w:cs="Verdana"/>
          <w:i/>
          <w:iCs/>
          <w:sz w:val="16"/>
          <w:szCs w:val="16"/>
          <w:lang w:val="pl-PL"/>
        </w:rPr>
        <w:t>5</w:t>
      </w:r>
      <w:r w:rsidR="00002C3F" w:rsidRPr="00770D48">
        <w:rPr>
          <w:rFonts w:ascii="Verdana" w:hAnsi="Verdana" w:cs="Verdana"/>
          <w:i/>
          <w:iCs/>
          <w:sz w:val="16"/>
          <w:szCs w:val="16"/>
          <w:lang w:val="pl-PL"/>
        </w:rPr>
        <w:fldChar w:fldCharType="begin"/>
      </w:r>
      <w:r w:rsidRPr="00770D48">
        <w:rPr>
          <w:rFonts w:ascii="Verdana" w:hAnsi="Verdana" w:cs="Verdana"/>
          <w:i/>
          <w:iCs/>
          <w:sz w:val="16"/>
          <w:szCs w:val="16"/>
          <w:lang w:val="pl-PL"/>
        </w:rPr>
        <w:instrText xml:space="preserve"> SEQ Tabela \* ARABIC </w:instrText>
      </w:r>
      <w:r w:rsidR="00002C3F" w:rsidRPr="00770D48">
        <w:rPr>
          <w:rFonts w:ascii="Verdana" w:hAnsi="Verdana" w:cs="Verdana"/>
          <w:i/>
          <w:iCs/>
          <w:sz w:val="16"/>
          <w:szCs w:val="16"/>
          <w:lang w:val="pl-PL"/>
        </w:rPr>
        <w:fldChar w:fldCharType="separate"/>
      </w:r>
      <w:r w:rsidR="00C71C02">
        <w:rPr>
          <w:rFonts w:ascii="Verdana" w:hAnsi="Verdana" w:cs="Verdana"/>
          <w:i/>
          <w:iCs/>
          <w:noProof/>
          <w:sz w:val="16"/>
          <w:szCs w:val="16"/>
          <w:lang w:val="pl-PL"/>
        </w:rPr>
        <w:t>6</w:t>
      </w:r>
      <w:r w:rsidR="00002C3F" w:rsidRPr="00770D48">
        <w:rPr>
          <w:rFonts w:ascii="Verdana" w:hAnsi="Verdana" w:cs="Verdana"/>
          <w:i/>
          <w:iCs/>
          <w:sz w:val="16"/>
          <w:szCs w:val="16"/>
          <w:lang w:val="pl-PL"/>
        </w:rPr>
        <w:fldChar w:fldCharType="end"/>
      </w:r>
      <w:r w:rsidRPr="00770D48">
        <w:rPr>
          <w:rFonts w:ascii="Verdana" w:hAnsi="Verdana" w:cs="Verdana"/>
          <w:i/>
          <w:iCs/>
          <w:sz w:val="16"/>
          <w:szCs w:val="16"/>
          <w:lang w:val="pl-PL"/>
        </w:rPr>
        <w:t xml:space="preserve"> Zbiorcze zestawienie wymagań dla oznakowań na pozostałych drogach nie wymienionych w tablicy 3</w:t>
      </w:r>
    </w:p>
    <w:tbl>
      <w:tblPr>
        <w:tblW w:w="9333" w:type="dxa"/>
        <w:tblInd w:w="8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5599"/>
        <w:gridCol w:w="1347"/>
        <w:gridCol w:w="1200"/>
        <w:gridCol w:w="691"/>
      </w:tblGrid>
      <w:tr w:rsidR="00F221DF" w:rsidRPr="00887E78" w:rsidTr="00887E78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hideMark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bCs/>
                <w:sz w:val="16"/>
                <w:szCs w:val="16"/>
                <w:lang w:val="pl-PL"/>
              </w:rPr>
              <w:t>Lp.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hideMark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bCs/>
                <w:sz w:val="16"/>
                <w:szCs w:val="16"/>
                <w:lang w:val="pl-PL"/>
              </w:rPr>
              <w:t>Właściwość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hideMark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bCs/>
                <w:sz w:val="16"/>
                <w:szCs w:val="16"/>
                <w:lang w:val="pl-PL"/>
              </w:rPr>
              <w:t xml:space="preserve">Jednostka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hideMark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bCs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hideMark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bCs/>
                <w:sz w:val="16"/>
                <w:szCs w:val="16"/>
                <w:lang w:val="pl-PL"/>
              </w:rPr>
              <w:t>Klasa</w:t>
            </w:r>
          </w:p>
        </w:tc>
      </w:tr>
      <w:tr w:rsidR="00F221DF" w:rsidRPr="00887E78" w:rsidTr="00B96C9E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B96C9E" w:rsidRDefault="00F221DF" w:rsidP="00B96C9E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ind w:left="0" w:firstLine="0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Współczynnik odblasku R</w:t>
            </w:r>
            <w:r w:rsidRPr="00887E78">
              <w:rPr>
                <w:rFonts w:ascii="Verdana" w:hAnsi="Verdana" w:cs="Arial"/>
                <w:sz w:val="16"/>
                <w:szCs w:val="16"/>
                <w:vertAlign w:val="subscript"/>
                <w:lang w:val="pl-PL"/>
              </w:rPr>
              <w:t>L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dla oznakowania nowego (w ciągu 14 - 30 dni po wykonaniu) w stanie suchym barwy:    </w:t>
            </w:r>
          </w:p>
          <w:p w:rsidR="00F221DF" w:rsidRPr="00887E78" w:rsidRDefault="00F221DF" w:rsidP="00084355">
            <w:pPr>
              <w:widowControl/>
              <w:numPr>
                <w:ilvl w:val="1"/>
                <w:numId w:val="15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białej,</w:t>
            </w:r>
          </w:p>
          <w:p w:rsidR="00F221DF" w:rsidRPr="00887E78" w:rsidRDefault="00F221DF" w:rsidP="00084355">
            <w:pPr>
              <w:widowControl/>
              <w:numPr>
                <w:ilvl w:val="1"/>
                <w:numId w:val="15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żółtej tymczasowej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mcd m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-2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lx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-1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mcd m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-2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lx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B3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2</w:t>
            </w:r>
            <w:r w:rsidR="00B96C9E">
              <w:rPr>
                <w:rFonts w:ascii="Verdana" w:hAnsi="Verdana" w:cs="Arial"/>
                <w:sz w:val="16"/>
                <w:szCs w:val="16"/>
                <w:lang w:val="pl-PL"/>
              </w:rPr>
              <w:t>0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0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B3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150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R4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R3</w:t>
            </w:r>
          </w:p>
        </w:tc>
      </w:tr>
      <w:tr w:rsidR="00F221DF" w:rsidRPr="00887E78" w:rsidTr="00B96C9E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B96C9E" w:rsidRDefault="00F221DF" w:rsidP="00B96C9E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ind w:left="0" w:firstLine="0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Współczynnik odblasku R</w:t>
            </w:r>
            <w:r w:rsidRPr="00887E78">
              <w:rPr>
                <w:rFonts w:ascii="Verdana" w:hAnsi="Verdana" w:cs="Arial"/>
                <w:sz w:val="16"/>
                <w:szCs w:val="16"/>
                <w:vertAlign w:val="subscript"/>
                <w:lang w:val="pl-PL"/>
              </w:rPr>
              <w:t>L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dla oznakowania eksploatowanego </w:t>
            </w:r>
            <w:r w:rsidR="00B96C9E">
              <w:rPr>
                <w:rFonts w:ascii="Verdana" w:hAnsi="Verdana" w:cs="Arial"/>
                <w:sz w:val="16"/>
                <w:szCs w:val="16"/>
                <w:lang w:val="pl-PL"/>
              </w:rPr>
              <w:t>od 2 do 6 miesięcy po wykonaniu, barwy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: </w:t>
            </w:r>
          </w:p>
          <w:p w:rsidR="00F221DF" w:rsidRPr="00887E78" w:rsidRDefault="00F221DF" w:rsidP="00084355">
            <w:pPr>
              <w:widowControl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białej,</w:t>
            </w:r>
          </w:p>
          <w:p w:rsidR="00F221DF" w:rsidRPr="00887E78" w:rsidRDefault="00F221DF" w:rsidP="00084355">
            <w:pPr>
              <w:widowControl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żółtej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mcd m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-2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lx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-1</w:t>
            </w:r>
          </w:p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mcd m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-2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lx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B3"/>
            </w:r>
            <w:r w:rsidR="00B96C9E">
              <w:rPr>
                <w:rFonts w:ascii="Verdana" w:hAnsi="Verdana" w:cs="Arial"/>
                <w:sz w:val="16"/>
                <w:szCs w:val="16"/>
                <w:lang w:val="pl-PL"/>
              </w:rPr>
              <w:t>15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0</w:t>
            </w:r>
          </w:p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B3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100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R</w:t>
            </w:r>
            <w:r w:rsidR="00B96C9E">
              <w:rPr>
                <w:rFonts w:ascii="Verdana" w:hAnsi="Verdana" w:cs="Arial"/>
                <w:sz w:val="16"/>
                <w:szCs w:val="16"/>
                <w:lang w:val="pl-PL"/>
              </w:rPr>
              <w:t>3</w:t>
            </w:r>
          </w:p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R2</w:t>
            </w:r>
          </w:p>
        </w:tc>
      </w:tr>
      <w:tr w:rsidR="006E5B7A" w:rsidRPr="00887E78" w:rsidTr="00794AD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E5B7A" w:rsidRPr="00B96C9E" w:rsidRDefault="006E5B7A" w:rsidP="006E5B7A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ind w:left="0" w:firstLine="0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E5B7A" w:rsidRPr="006E5B7A" w:rsidRDefault="006E5B7A" w:rsidP="006E5B7A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>
              <w:rPr>
                <w:rFonts w:ascii="Verdana" w:hAnsi="Verdana" w:cs="Arial"/>
                <w:sz w:val="16"/>
                <w:szCs w:val="16"/>
                <w:lang w:val="pl-PL"/>
              </w:rPr>
              <w:t>Współczynnik odblasku R</w:t>
            </w:r>
            <w:r>
              <w:rPr>
                <w:rFonts w:ascii="Verdana" w:hAnsi="Verdana" w:cs="Arial"/>
                <w:sz w:val="16"/>
                <w:szCs w:val="16"/>
                <w:vertAlign w:val="subscript"/>
                <w:lang w:val="pl-PL"/>
              </w:rPr>
              <w:t>L</w:t>
            </w:r>
            <w:r>
              <w:rPr>
                <w:rFonts w:ascii="Verdana" w:hAnsi="Verdana" w:cs="Arial"/>
                <w:sz w:val="16"/>
                <w:szCs w:val="16"/>
                <w:lang w:val="pl-PL"/>
              </w:rPr>
              <w:t xml:space="preserve"> dla oznakowania suchego od 7 miesiąca po wykonaniu barwy białej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E5B7A" w:rsidRPr="00887E78" w:rsidRDefault="006E5B7A" w:rsidP="006E5B7A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/>
                <w:sz w:val="16"/>
                <w:szCs w:val="16"/>
                <w:lang w:val="pl-PL"/>
              </w:rPr>
              <w:t>mcd m</w:t>
            </w:r>
            <w:r w:rsidRPr="00887E78">
              <w:rPr>
                <w:rFonts w:ascii="Verdana" w:hAnsi="Verdana"/>
                <w:sz w:val="16"/>
                <w:szCs w:val="16"/>
                <w:vertAlign w:val="superscript"/>
                <w:lang w:val="pl-PL"/>
              </w:rPr>
              <w:t>-2</w:t>
            </w:r>
            <w:r w:rsidRPr="00887E78">
              <w:rPr>
                <w:rFonts w:ascii="Verdana" w:hAnsi="Verdana"/>
                <w:sz w:val="16"/>
                <w:szCs w:val="16"/>
                <w:lang w:val="pl-PL"/>
              </w:rPr>
              <w:t xml:space="preserve"> lx</w:t>
            </w:r>
            <w:r w:rsidRPr="00887E78">
              <w:rPr>
                <w:rFonts w:ascii="Verdana" w:hAnsi="Verdana"/>
                <w:sz w:val="16"/>
                <w:szCs w:val="16"/>
                <w:vertAlign w:val="superscript"/>
                <w:lang w:val="pl-PL"/>
              </w:rPr>
              <w:t>-1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E5B7A" w:rsidRPr="00887E78" w:rsidRDefault="006E5B7A" w:rsidP="006E5B7A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/>
                <w:sz w:val="16"/>
                <w:szCs w:val="16"/>
                <w:lang w:val="pl-PL"/>
              </w:rPr>
              <w:sym w:font="Symbol" w:char="F0B3"/>
            </w:r>
            <w:r>
              <w:rPr>
                <w:rFonts w:ascii="Verdana" w:hAnsi="Verdana"/>
                <w:sz w:val="16"/>
                <w:szCs w:val="16"/>
                <w:lang w:val="pl-PL"/>
              </w:rPr>
              <w:t>10</w:t>
            </w:r>
            <w:r w:rsidRPr="00887E78">
              <w:rPr>
                <w:rFonts w:ascii="Verdana" w:hAnsi="Verdana"/>
                <w:sz w:val="16"/>
                <w:szCs w:val="16"/>
                <w:lang w:val="pl-PL"/>
              </w:rPr>
              <w:t>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E5B7A" w:rsidRPr="00887E78" w:rsidRDefault="006E5B7A" w:rsidP="006E5B7A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/>
                <w:sz w:val="16"/>
                <w:szCs w:val="16"/>
                <w:lang w:val="pl-PL"/>
              </w:rPr>
              <w:t>R</w:t>
            </w:r>
            <w:r>
              <w:rPr>
                <w:rFonts w:ascii="Verdana" w:hAnsi="Verdana"/>
                <w:sz w:val="16"/>
                <w:szCs w:val="16"/>
                <w:lang w:val="pl-PL"/>
              </w:rPr>
              <w:t>2</w:t>
            </w:r>
          </w:p>
        </w:tc>
      </w:tr>
      <w:tr w:rsidR="00F221DF" w:rsidRPr="00887E78" w:rsidTr="00B96C9E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B96C9E" w:rsidRDefault="00F221DF" w:rsidP="00B96C9E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ind w:left="0" w:firstLine="0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trike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Współczynnik odblasku R</w:t>
            </w:r>
            <w:r w:rsidRPr="00887E78">
              <w:rPr>
                <w:rFonts w:ascii="Verdana" w:hAnsi="Verdana" w:cs="Arial"/>
                <w:sz w:val="16"/>
                <w:szCs w:val="16"/>
                <w:vertAlign w:val="subscript"/>
                <w:lang w:val="pl-PL"/>
              </w:rPr>
              <w:t>L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dla grubowarstwowego strukturalnego oznakowania wilgotnego od 14 do 30 dnia po wykonaniu, barwy białej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trike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mcd m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-2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lx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trike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B3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50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trike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RW3</w:t>
            </w:r>
          </w:p>
        </w:tc>
      </w:tr>
      <w:tr w:rsidR="00F221DF" w:rsidRPr="00887E78" w:rsidTr="00B96C9E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B96C9E" w:rsidRDefault="00F221DF" w:rsidP="00B96C9E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ind w:left="0" w:firstLine="0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Współczynnik odblasku R</w:t>
            </w:r>
            <w:r w:rsidRPr="00887E78">
              <w:rPr>
                <w:rFonts w:ascii="Verdana" w:hAnsi="Verdana" w:cs="Arial"/>
                <w:sz w:val="16"/>
                <w:szCs w:val="16"/>
                <w:vertAlign w:val="subscript"/>
                <w:lang w:val="pl-PL"/>
              </w:rPr>
              <w:t>L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dla grubowarstwowego strukturalnego oznakowania wilgotnego po 30 dniu od wykonania, barwy białej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mcd m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-2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lx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B3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35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RW2</w:t>
            </w:r>
          </w:p>
        </w:tc>
      </w:tr>
      <w:tr w:rsidR="00F221DF" w:rsidRPr="00887E78" w:rsidTr="00B96C9E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B96C9E" w:rsidRDefault="00F221DF" w:rsidP="00B96C9E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ind w:left="0" w:firstLine="0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Współczynnik luminancji 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62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dla oznakowania nowego (od 14 do 30 dnia po wykonaniu)  barwy:</w:t>
            </w:r>
          </w:p>
          <w:p w:rsidR="00F221DF" w:rsidRPr="00887E78" w:rsidRDefault="00F221DF" w:rsidP="00084355">
            <w:pPr>
              <w:widowControl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białej na nawierzchni asfaltowej,</w:t>
            </w:r>
          </w:p>
          <w:p w:rsidR="00F221DF" w:rsidRPr="00887E78" w:rsidRDefault="00F221DF" w:rsidP="00084355">
            <w:pPr>
              <w:widowControl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białej na nawierzchni betonowej,</w:t>
            </w:r>
          </w:p>
          <w:p w:rsidR="00F221DF" w:rsidRPr="00887E78" w:rsidRDefault="00F221DF" w:rsidP="00084355">
            <w:pPr>
              <w:widowControl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żółtej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-</w:t>
            </w:r>
          </w:p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-</w:t>
            </w:r>
          </w:p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-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B3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0,40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B3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0,50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B3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0,30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B3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B4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B2</w:t>
            </w:r>
          </w:p>
        </w:tc>
      </w:tr>
      <w:tr w:rsidR="00F221DF" w:rsidRPr="00887E78" w:rsidTr="00B96C9E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B96C9E" w:rsidRDefault="00F221DF" w:rsidP="00B96C9E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ind w:left="0" w:firstLine="0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Współczynnik luminancji 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62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dla oznakowania eksploatowanego (po 30 dniu od wykonania) barwy: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- białej</w:t>
            </w:r>
          </w:p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- żółtej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-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-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B3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0,30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B3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0,20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B2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B1</w:t>
            </w:r>
          </w:p>
        </w:tc>
      </w:tr>
      <w:tr w:rsidR="00F221DF" w:rsidRPr="00887E78" w:rsidTr="00B96C9E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B96C9E" w:rsidRDefault="00F221DF" w:rsidP="00B96C9E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ind w:left="0" w:firstLine="0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Współczynnik luminancji w świetle rozproszonym </w:t>
            </w:r>
            <w:proofErr w:type="spellStart"/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Qd</w:t>
            </w:r>
            <w:proofErr w:type="spellEnd"/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(alternatywnie do 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62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) dla oznakowania nowego w ciągu od 14 do 30 dnia po wykonaniu, barwy:</w:t>
            </w:r>
          </w:p>
          <w:p w:rsidR="00F221DF" w:rsidRPr="00887E78" w:rsidRDefault="00F221DF" w:rsidP="00084355">
            <w:pPr>
              <w:widowControl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białej na nawierzchni asfaltowej</w:t>
            </w:r>
          </w:p>
          <w:p w:rsidR="00F221DF" w:rsidRPr="00887E78" w:rsidRDefault="00F221DF" w:rsidP="00084355">
            <w:pPr>
              <w:widowControl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białej na nawierzchni betonowej</w:t>
            </w:r>
          </w:p>
          <w:p w:rsidR="00F221DF" w:rsidRPr="00887E78" w:rsidRDefault="00F221DF" w:rsidP="00084355">
            <w:pPr>
              <w:widowControl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żółtej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mcd m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-2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lx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-1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mcd m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-2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lx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-1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mcd m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-2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lx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B3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130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B3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160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B3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100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Q3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Q4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Q2</w:t>
            </w:r>
          </w:p>
        </w:tc>
      </w:tr>
      <w:tr w:rsidR="00F221DF" w:rsidRPr="00887E78" w:rsidTr="00B96C9E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B96C9E" w:rsidRDefault="00F221DF" w:rsidP="00B96C9E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ind w:left="0" w:firstLine="0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Współczynnik luminancji w świetle rozproszonym </w:t>
            </w:r>
            <w:proofErr w:type="spellStart"/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Qd</w:t>
            </w:r>
            <w:proofErr w:type="spellEnd"/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(alternatywnie do 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62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) dla oznakowania eksploatowanego w ciągu całego okresu eksploatacji po 30 dniu od wykonania, barwy:</w:t>
            </w:r>
          </w:p>
          <w:p w:rsidR="00F221DF" w:rsidRPr="00887E78" w:rsidRDefault="00F221DF" w:rsidP="00084355">
            <w:pPr>
              <w:widowControl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białej na nawierzchni asfaltowej</w:t>
            </w:r>
          </w:p>
          <w:p w:rsidR="00F221DF" w:rsidRPr="00887E78" w:rsidRDefault="00F221DF" w:rsidP="00084355">
            <w:pPr>
              <w:widowControl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białej na nawierzchni betonowej</w:t>
            </w:r>
          </w:p>
          <w:p w:rsidR="00F221DF" w:rsidRPr="00887E78" w:rsidRDefault="00F221DF" w:rsidP="00084355">
            <w:pPr>
              <w:widowControl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lastRenderedPageBreak/>
              <w:t>żółtej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mcd m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-2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lx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-1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mcd m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-2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lx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-1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lastRenderedPageBreak/>
              <w:t>mcd m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-2</w:t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lx</w:t>
            </w:r>
            <w:r w:rsidRPr="00887E78">
              <w:rPr>
                <w:rFonts w:ascii="Verdana" w:hAnsi="Verdana" w:cs="Arial"/>
                <w:sz w:val="16"/>
                <w:szCs w:val="16"/>
                <w:vertAlign w:val="superscript"/>
                <w:lang w:val="pl-PL"/>
              </w:rPr>
              <w:t>-1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B3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100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B3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130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lastRenderedPageBreak/>
              <w:sym w:font="Symbol" w:char="F0B3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80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Q2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Q3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lastRenderedPageBreak/>
              <w:t>Q1</w:t>
            </w:r>
          </w:p>
        </w:tc>
      </w:tr>
      <w:tr w:rsidR="00F221DF" w:rsidRPr="00887E78" w:rsidTr="00B96C9E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B96C9E" w:rsidRDefault="00F221DF" w:rsidP="00B96C9E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ind w:left="0" w:firstLine="0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21DF" w:rsidRPr="00887E78" w:rsidRDefault="00F221DF" w:rsidP="006E5B7A">
            <w:pPr>
              <w:widowControl/>
              <w:overflowPunct w:val="0"/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Szorstkość oznakowania eksploatowanego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wskaźnik SRT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B3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45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S1</w:t>
            </w:r>
          </w:p>
        </w:tc>
      </w:tr>
      <w:tr w:rsidR="00F221DF" w:rsidRPr="00887E78" w:rsidTr="00B96C9E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B96C9E" w:rsidRDefault="00F221DF" w:rsidP="00B96C9E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ind w:left="0" w:firstLine="0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Trwałość oznakowania cienkowarstwowego po 12 miesiącach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skala LCPC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B3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-</w:t>
            </w:r>
          </w:p>
        </w:tc>
      </w:tr>
      <w:tr w:rsidR="00F221DF" w:rsidRPr="00887E78" w:rsidTr="00B96C9E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B96C9E" w:rsidRDefault="00F221DF" w:rsidP="00B96C9E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ind w:left="0" w:firstLine="0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Czas schnięcia materiału na nawierzchni</w:t>
            </w:r>
          </w:p>
          <w:p w:rsidR="00F221DF" w:rsidRPr="00887E78" w:rsidRDefault="00F221DF" w:rsidP="00084355">
            <w:pPr>
              <w:widowControl/>
              <w:numPr>
                <w:ilvl w:val="0"/>
                <w:numId w:val="19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w dzień</w:t>
            </w:r>
          </w:p>
          <w:p w:rsidR="00F221DF" w:rsidRPr="00887E78" w:rsidRDefault="00F221DF" w:rsidP="00084355">
            <w:pPr>
              <w:widowControl/>
              <w:numPr>
                <w:ilvl w:val="0"/>
                <w:numId w:val="19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w nocy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h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A3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1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sym w:font="Symbol" w:char="F0A3"/>
            </w: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 xml:space="preserve"> 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</w:p>
          <w:p w:rsidR="00F221DF" w:rsidRPr="00887E78" w:rsidRDefault="00F221DF" w:rsidP="00401A3C">
            <w:p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-</w:t>
            </w:r>
          </w:p>
          <w:p w:rsidR="00F221DF" w:rsidRPr="00887E78" w:rsidRDefault="00F221DF" w:rsidP="00401A3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val="pl-PL"/>
              </w:rPr>
            </w:pPr>
            <w:r w:rsidRPr="00887E78">
              <w:rPr>
                <w:rFonts w:ascii="Verdana" w:hAnsi="Verdana" w:cs="Arial"/>
                <w:sz w:val="16"/>
                <w:szCs w:val="16"/>
                <w:lang w:val="pl-PL"/>
              </w:rPr>
              <w:t>-</w:t>
            </w:r>
          </w:p>
        </w:tc>
      </w:tr>
    </w:tbl>
    <w:p w:rsidR="00653618" w:rsidRPr="00770D48" w:rsidRDefault="00653618" w:rsidP="00A90DA2">
      <w:pPr>
        <w:pStyle w:val="Nagwek2"/>
        <w:keepNext w:val="0"/>
        <w:tabs>
          <w:tab w:val="num" w:pos="680"/>
        </w:tabs>
        <w:ind w:left="1418" w:right="208" w:hanging="567"/>
        <w:jc w:val="both"/>
        <w:rPr>
          <w:lang w:val="pl-PL"/>
        </w:rPr>
      </w:pPr>
      <w:bookmarkStart w:id="30" w:name="_Toc75167492"/>
      <w:r w:rsidRPr="00770D48">
        <w:rPr>
          <w:lang w:val="pl-PL"/>
        </w:rPr>
        <w:t>Tolerancje wymiarów oznakowania</w:t>
      </w:r>
      <w:bookmarkEnd w:id="30"/>
    </w:p>
    <w:p w:rsidR="00653618" w:rsidRPr="00770D48" w:rsidRDefault="00653618" w:rsidP="00A90DA2">
      <w:pPr>
        <w:pStyle w:val="Akapitzlist"/>
        <w:numPr>
          <w:ilvl w:val="0"/>
          <w:numId w:val="14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szerokość linii może różnić się od wymaganej o ± 5 mm, </w:t>
      </w:r>
    </w:p>
    <w:p w:rsidR="00653618" w:rsidRPr="00770D48" w:rsidRDefault="00653618" w:rsidP="00A90DA2">
      <w:pPr>
        <w:pStyle w:val="Akapitzlist"/>
        <w:numPr>
          <w:ilvl w:val="0"/>
          <w:numId w:val="14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długość linii może być mniejsza od wymaganej co najwyżej o 5 cm lub większa co najwyżej o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15 cm, </w:t>
      </w:r>
    </w:p>
    <w:p w:rsidR="00653618" w:rsidRPr="00770D48" w:rsidRDefault="00653618" w:rsidP="00A90DA2">
      <w:pPr>
        <w:pStyle w:val="Akapitzlist"/>
        <w:numPr>
          <w:ilvl w:val="0"/>
          <w:numId w:val="14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dla linii przerywanych, długość cyklu składającego się z linii i przerwy nie może odbiegać od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średniej liczonej z 10 kolejnych cykli o więcej niż ± 5 cm długości wymaganej, </w:t>
      </w:r>
    </w:p>
    <w:p w:rsidR="00653618" w:rsidRDefault="00653618" w:rsidP="00A90DA2">
      <w:pPr>
        <w:pStyle w:val="Akapitzlist"/>
        <w:numPr>
          <w:ilvl w:val="0"/>
          <w:numId w:val="14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dla strzałek, liter i cyfr rozstaw punktów narożnikowych nie może mieć większej odchyłki od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wymaganego wzoru niż ± 5 cm dla wymiaru długości i ± 2 cm dla wymiaru szerokości. </w:t>
      </w:r>
    </w:p>
    <w:p w:rsidR="00E1772B" w:rsidRPr="00770D48" w:rsidRDefault="00E1772B" w:rsidP="00A90DA2">
      <w:pPr>
        <w:pStyle w:val="Nagwek1"/>
        <w:keepNext w:val="0"/>
        <w:spacing w:before="240"/>
        <w:ind w:left="1418" w:right="208" w:hanging="567"/>
        <w:jc w:val="both"/>
        <w:rPr>
          <w:rFonts w:ascii="Verdana" w:hAnsi="Verdana"/>
          <w:color w:val="auto"/>
          <w:sz w:val="18"/>
          <w:szCs w:val="18"/>
          <w:lang w:val="pl-PL"/>
        </w:rPr>
      </w:pPr>
      <w:bookmarkStart w:id="31" w:name="_Toc75167494"/>
      <w:r w:rsidRPr="00770D48">
        <w:rPr>
          <w:rFonts w:ascii="Verdana" w:hAnsi="Verdana"/>
          <w:color w:val="auto"/>
          <w:sz w:val="18"/>
          <w:szCs w:val="18"/>
          <w:lang w:val="pl-PL"/>
        </w:rPr>
        <w:t>Obmiar robót</w:t>
      </w:r>
      <w:bookmarkEnd w:id="31"/>
    </w:p>
    <w:p w:rsidR="00E1772B" w:rsidRDefault="00E1772B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Ogólne zasady obmiaru robót podano w STWiORB DM 00.00.00 Wymagania ogólne. </w:t>
      </w:r>
    </w:p>
    <w:p w:rsidR="001311F0" w:rsidRDefault="001311F0" w:rsidP="001311F0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1311F0">
        <w:rPr>
          <w:rFonts w:ascii="Verdana" w:hAnsi="Verdana" w:cs="Verdana"/>
          <w:sz w:val="18"/>
          <w:szCs w:val="18"/>
          <w:lang w:val="pl-PL"/>
        </w:rPr>
        <w:t>Jednostką obmiarową wykonania oznakowania poziomego dla poszczególnych robót jest</w:t>
      </w:r>
      <w:r>
        <w:rPr>
          <w:rFonts w:ascii="Verdana" w:hAnsi="Verdana" w:cs="Verdana"/>
          <w:sz w:val="18"/>
          <w:szCs w:val="18"/>
          <w:lang w:val="pl-PL"/>
        </w:rPr>
        <w:t>:</w:t>
      </w:r>
    </w:p>
    <w:p w:rsidR="001311F0" w:rsidRPr="001F2F8F" w:rsidRDefault="001311F0" w:rsidP="0007601F">
      <w:pPr>
        <w:pStyle w:val="Akapitzlist"/>
        <w:numPr>
          <w:ilvl w:val="0"/>
          <w:numId w:val="32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1F2F8F">
        <w:rPr>
          <w:rFonts w:ascii="Verdana" w:hAnsi="Verdana" w:cs="Verdana"/>
          <w:sz w:val="18"/>
          <w:szCs w:val="18"/>
          <w:lang w:val="pl-PL"/>
        </w:rPr>
        <w:t>wykonanie oznakowania poziomego grubowarstwowego strukturalnego</w:t>
      </w:r>
      <w:r w:rsidR="001F2F8F" w:rsidRPr="001F2F8F">
        <w:rPr>
          <w:rFonts w:ascii="Verdana" w:hAnsi="Verdana" w:cs="Verdana"/>
          <w:sz w:val="18"/>
          <w:szCs w:val="18"/>
          <w:lang w:val="pl-PL"/>
        </w:rPr>
        <w:t xml:space="preserve"> lub profilowanego</w:t>
      </w:r>
      <w:r w:rsidRPr="001F2F8F">
        <w:rPr>
          <w:rFonts w:ascii="Verdana" w:hAnsi="Verdana" w:cs="Verdana"/>
          <w:sz w:val="18"/>
          <w:szCs w:val="18"/>
          <w:lang w:val="pl-PL"/>
        </w:rPr>
        <w:t xml:space="preserve"> - linie ciągłe [m</w:t>
      </w:r>
      <w:r w:rsidRPr="001F2F8F">
        <w:rPr>
          <w:rFonts w:ascii="Verdana" w:hAnsi="Verdana" w:cs="Verdana"/>
          <w:sz w:val="18"/>
          <w:szCs w:val="18"/>
          <w:vertAlign w:val="superscript"/>
          <w:lang w:val="pl-PL"/>
        </w:rPr>
        <w:t>2</w:t>
      </w:r>
      <w:r w:rsidRPr="001F2F8F">
        <w:rPr>
          <w:rFonts w:ascii="Verdana" w:hAnsi="Verdana" w:cs="Verdana"/>
          <w:sz w:val="18"/>
          <w:szCs w:val="18"/>
          <w:lang w:val="pl-PL"/>
        </w:rPr>
        <w:t>],</w:t>
      </w:r>
    </w:p>
    <w:p w:rsidR="001311F0" w:rsidRPr="001F2F8F" w:rsidRDefault="001311F0" w:rsidP="0007601F">
      <w:pPr>
        <w:pStyle w:val="Akapitzlist"/>
        <w:numPr>
          <w:ilvl w:val="0"/>
          <w:numId w:val="32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1F2F8F">
        <w:rPr>
          <w:rFonts w:ascii="Verdana" w:hAnsi="Verdana" w:cs="Verdana"/>
          <w:sz w:val="18"/>
          <w:szCs w:val="18"/>
          <w:lang w:val="pl-PL"/>
        </w:rPr>
        <w:t xml:space="preserve">wykonanie oznakowania poziomego grubowarstwowego strukturalnego </w:t>
      </w:r>
      <w:r w:rsidR="001F2F8F" w:rsidRPr="001F2F8F">
        <w:rPr>
          <w:rFonts w:ascii="Verdana" w:hAnsi="Verdana" w:cs="Verdana"/>
          <w:sz w:val="18"/>
          <w:szCs w:val="18"/>
          <w:lang w:val="pl-PL"/>
        </w:rPr>
        <w:t xml:space="preserve">lub profilowanego </w:t>
      </w:r>
      <w:r w:rsidRPr="001F2F8F">
        <w:rPr>
          <w:rFonts w:ascii="Verdana" w:hAnsi="Verdana" w:cs="Verdana"/>
          <w:sz w:val="18"/>
          <w:szCs w:val="18"/>
          <w:lang w:val="pl-PL"/>
        </w:rPr>
        <w:t>- linie przerywane [m</w:t>
      </w:r>
      <w:r w:rsidRPr="001F2F8F">
        <w:rPr>
          <w:rFonts w:ascii="Verdana" w:hAnsi="Verdana" w:cs="Verdana"/>
          <w:sz w:val="18"/>
          <w:szCs w:val="18"/>
          <w:vertAlign w:val="superscript"/>
          <w:lang w:val="pl-PL"/>
        </w:rPr>
        <w:t>2</w:t>
      </w:r>
      <w:r w:rsidRPr="001F2F8F">
        <w:rPr>
          <w:rFonts w:ascii="Verdana" w:hAnsi="Verdana" w:cs="Verdana"/>
          <w:sz w:val="18"/>
          <w:szCs w:val="18"/>
          <w:lang w:val="pl-PL"/>
        </w:rPr>
        <w:t>],</w:t>
      </w:r>
    </w:p>
    <w:p w:rsidR="001311F0" w:rsidRPr="001F2F8F" w:rsidRDefault="001311F0" w:rsidP="0007601F">
      <w:pPr>
        <w:pStyle w:val="Akapitzlist"/>
        <w:numPr>
          <w:ilvl w:val="0"/>
          <w:numId w:val="32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1F2F8F">
        <w:rPr>
          <w:rFonts w:ascii="Verdana" w:hAnsi="Verdana" w:cs="Verdana"/>
          <w:sz w:val="18"/>
          <w:szCs w:val="18"/>
          <w:lang w:val="pl-PL"/>
        </w:rPr>
        <w:t xml:space="preserve">wykonanie oznakowania poziomego grubowarstwowego </w:t>
      </w:r>
      <w:r w:rsidR="001F2F8F" w:rsidRPr="001F2F8F">
        <w:rPr>
          <w:rFonts w:ascii="Verdana" w:hAnsi="Verdana" w:cs="Verdana"/>
          <w:sz w:val="18"/>
          <w:szCs w:val="18"/>
          <w:lang w:val="pl-PL"/>
        </w:rPr>
        <w:t>strukturalnego lub profilowanego</w:t>
      </w:r>
      <w:r w:rsidRPr="001F2F8F">
        <w:rPr>
          <w:rFonts w:ascii="Verdana" w:hAnsi="Verdana" w:cs="Verdana"/>
          <w:sz w:val="18"/>
          <w:szCs w:val="18"/>
          <w:lang w:val="pl-PL"/>
        </w:rPr>
        <w:t xml:space="preserve"> - symbole i strzałki [m</w:t>
      </w:r>
      <w:r w:rsidRPr="001F2F8F">
        <w:rPr>
          <w:rFonts w:ascii="Verdana" w:hAnsi="Verdana" w:cs="Verdana"/>
          <w:sz w:val="18"/>
          <w:szCs w:val="18"/>
          <w:vertAlign w:val="superscript"/>
          <w:lang w:val="pl-PL"/>
        </w:rPr>
        <w:t>2</w:t>
      </w:r>
      <w:r w:rsidRPr="001F2F8F">
        <w:rPr>
          <w:rFonts w:ascii="Verdana" w:hAnsi="Verdana" w:cs="Verdana"/>
          <w:sz w:val="18"/>
          <w:szCs w:val="18"/>
          <w:lang w:val="pl-PL"/>
        </w:rPr>
        <w:t>],</w:t>
      </w:r>
    </w:p>
    <w:p w:rsidR="00E1772B" w:rsidRPr="00770D48" w:rsidRDefault="00E1772B" w:rsidP="00A90DA2">
      <w:pPr>
        <w:pStyle w:val="Nagwek1"/>
        <w:keepNext w:val="0"/>
        <w:spacing w:before="240"/>
        <w:ind w:left="1418" w:right="208" w:hanging="567"/>
        <w:jc w:val="both"/>
        <w:rPr>
          <w:rFonts w:ascii="Verdana" w:hAnsi="Verdana"/>
          <w:color w:val="auto"/>
          <w:sz w:val="18"/>
          <w:szCs w:val="18"/>
          <w:lang w:val="pl-PL"/>
        </w:rPr>
      </w:pPr>
      <w:bookmarkStart w:id="32" w:name="_Toc75167495"/>
      <w:r w:rsidRPr="00770D48">
        <w:rPr>
          <w:rFonts w:ascii="Verdana" w:hAnsi="Verdana"/>
          <w:color w:val="auto"/>
          <w:sz w:val="18"/>
          <w:szCs w:val="18"/>
          <w:lang w:val="pl-PL"/>
        </w:rPr>
        <w:t>Odbiór robót</w:t>
      </w:r>
      <w:bookmarkEnd w:id="32"/>
    </w:p>
    <w:p w:rsidR="00E1772B" w:rsidRPr="00770D48" w:rsidRDefault="00E1772B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Ogólne zasady odbioru robót podano w STWiORB DM 00.00.00 „Wymagania ogólne".</w:t>
      </w:r>
    </w:p>
    <w:p w:rsidR="00F221DF" w:rsidRPr="00770D48" w:rsidRDefault="00F221DF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Roboty uznaje się za wykonane zgodnie z Dokumentacją Projektową i STWiORB, jeżeli wszystkie pomiary i badania, z zachowaniem tolerancji wg pkt 6, dały wyniki pozytywne.</w:t>
      </w:r>
    </w:p>
    <w:p w:rsidR="00E1772B" w:rsidRPr="00770D48" w:rsidRDefault="00E1772B" w:rsidP="00A90DA2">
      <w:pPr>
        <w:pStyle w:val="Nagwek1"/>
        <w:keepNext w:val="0"/>
        <w:spacing w:before="240"/>
        <w:ind w:left="1418" w:right="208" w:hanging="567"/>
        <w:jc w:val="both"/>
        <w:rPr>
          <w:rFonts w:ascii="Verdana" w:hAnsi="Verdana"/>
          <w:color w:val="auto"/>
          <w:sz w:val="18"/>
          <w:szCs w:val="18"/>
          <w:lang w:val="pl-PL"/>
        </w:rPr>
      </w:pPr>
      <w:bookmarkStart w:id="33" w:name="_Toc75167496"/>
      <w:r w:rsidRPr="00770D48">
        <w:rPr>
          <w:rFonts w:ascii="Verdana" w:hAnsi="Verdana"/>
          <w:color w:val="auto"/>
          <w:sz w:val="18"/>
          <w:szCs w:val="18"/>
          <w:lang w:val="pl-PL"/>
        </w:rPr>
        <w:t>Podstawa płatności</w:t>
      </w:r>
      <w:bookmarkEnd w:id="33"/>
    </w:p>
    <w:p w:rsidR="00E1772B" w:rsidRPr="00770D48" w:rsidRDefault="00E1772B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Ogólne ustalenia podano w STWiORB DM 00.00.00 „Wymagania Ogólne”.</w:t>
      </w:r>
    </w:p>
    <w:p w:rsidR="00F221DF" w:rsidRPr="00770D48" w:rsidRDefault="00887E78" w:rsidP="00A90DA2">
      <w:pPr>
        <w:spacing w:before="60" w:after="60" w:line="276" w:lineRule="auto"/>
        <w:ind w:left="851" w:right="208"/>
        <w:jc w:val="both"/>
        <w:rPr>
          <w:rFonts w:ascii="Verdana" w:hAnsi="Verdana" w:cs="Verdana"/>
          <w:sz w:val="18"/>
          <w:szCs w:val="18"/>
          <w:lang w:val="pl-PL"/>
        </w:rPr>
      </w:pPr>
      <w:r>
        <w:rPr>
          <w:rFonts w:ascii="Verdana" w:hAnsi="Verdana" w:cs="Verdana"/>
          <w:sz w:val="18"/>
          <w:szCs w:val="18"/>
          <w:lang w:val="pl-PL"/>
        </w:rPr>
        <w:t>Z</w:t>
      </w:r>
      <w:r w:rsidR="00F221DF" w:rsidRPr="00770D48">
        <w:rPr>
          <w:rFonts w:ascii="Verdana" w:hAnsi="Verdana" w:cs="Verdana"/>
          <w:sz w:val="18"/>
          <w:szCs w:val="18"/>
          <w:lang w:val="pl-PL"/>
        </w:rPr>
        <w:t>asady płatności podano w umowie pomiędzy Zamawiającym a Wykonawcą.</w:t>
      </w:r>
    </w:p>
    <w:p w:rsidR="00E1772B" w:rsidRPr="00770D48" w:rsidRDefault="00E1772B" w:rsidP="00A90DA2">
      <w:pPr>
        <w:pStyle w:val="Nagwek1"/>
        <w:keepNext w:val="0"/>
        <w:spacing w:before="240"/>
        <w:ind w:left="1418" w:right="208" w:hanging="567"/>
        <w:jc w:val="both"/>
        <w:rPr>
          <w:rFonts w:ascii="Verdana" w:hAnsi="Verdana"/>
          <w:color w:val="auto"/>
          <w:sz w:val="18"/>
          <w:szCs w:val="18"/>
          <w:lang w:val="pl-PL"/>
        </w:rPr>
      </w:pPr>
      <w:bookmarkStart w:id="34" w:name="_Toc75167497"/>
      <w:r w:rsidRPr="00770D48">
        <w:rPr>
          <w:rFonts w:ascii="Verdana" w:hAnsi="Verdana"/>
          <w:color w:val="auto"/>
          <w:sz w:val="18"/>
          <w:szCs w:val="18"/>
          <w:lang w:val="pl-PL"/>
        </w:rPr>
        <w:t>Przepisy związane</w:t>
      </w:r>
      <w:bookmarkEnd w:id="34"/>
    </w:p>
    <w:p w:rsidR="00E1772B" w:rsidRPr="00770D48" w:rsidRDefault="00E1772B" w:rsidP="00A90DA2">
      <w:pPr>
        <w:pStyle w:val="Nagwek2"/>
        <w:keepNext w:val="0"/>
        <w:tabs>
          <w:tab w:val="num" w:pos="680"/>
        </w:tabs>
        <w:ind w:left="1418" w:right="208" w:hanging="567"/>
        <w:jc w:val="both"/>
        <w:rPr>
          <w:lang w:val="pl-PL"/>
        </w:rPr>
      </w:pPr>
      <w:bookmarkStart w:id="35" w:name="_Toc75167498"/>
      <w:r w:rsidRPr="00770D48">
        <w:rPr>
          <w:lang w:val="pl-PL"/>
        </w:rPr>
        <w:t>Normy</w:t>
      </w:r>
      <w:bookmarkEnd w:id="35"/>
    </w:p>
    <w:p w:rsidR="00F221DF" w:rsidRPr="00770D48" w:rsidRDefault="00F221DF" w:rsidP="00A90DA2">
      <w:pPr>
        <w:pStyle w:val="Akapitzlist"/>
        <w:numPr>
          <w:ilvl w:val="0"/>
          <w:numId w:val="3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PN-89/C-81400 Wyroby lakierowane. Pakowanie, przechowywanie i transport</w:t>
      </w:r>
    </w:p>
    <w:p w:rsidR="00F221DF" w:rsidRPr="00770D48" w:rsidRDefault="00F221DF" w:rsidP="00A90DA2">
      <w:pPr>
        <w:pStyle w:val="Akapitzlist"/>
        <w:numPr>
          <w:ilvl w:val="0"/>
          <w:numId w:val="3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PN-85/O-79252 Opakowania transportowe z zawartością. Znaki i znakowanie. Wymagania podstawowe</w:t>
      </w:r>
    </w:p>
    <w:p w:rsidR="00F221DF" w:rsidRPr="00770D48" w:rsidRDefault="00F221DF" w:rsidP="00A90DA2">
      <w:pPr>
        <w:pStyle w:val="Akapitzlist"/>
        <w:numPr>
          <w:ilvl w:val="0"/>
          <w:numId w:val="3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PN-EN 1423 Materiały do poziomego oznakowania dróg. Materiały do posypywania. Kulki</w:t>
      </w:r>
      <w:r w:rsidR="0007601F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>szklane, kruszywo przeciwpoślizgowe i ich mieszaniny</w:t>
      </w:r>
    </w:p>
    <w:p w:rsidR="00F221DF" w:rsidRPr="00770D48" w:rsidRDefault="00F221DF" w:rsidP="00A90DA2">
      <w:pPr>
        <w:pStyle w:val="Akapitzlist"/>
        <w:numPr>
          <w:ilvl w:val="0"/>
          <w:numId w:val="3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PN-EN 1423/A1:2005 Materiały do poziomego oznakowania dróg. Materiały do posypywania. Kulki szklane, kruszywo przeciwpoślizgowe i ich mieszaniny (Zmiana A1:2005)</w:t>
      </w:r>
    </w:p>
    <w:p w:rsidR="00F221DF" w:rsidRPr="00770D48" w:rsidRDefault="00F221DF" w:rsidP="00A90DA2">
      <w:pPr>
        <w:pStyle w:val="Akapitzlist"/>
        <w:numPr>
          <w:ilvl w:val="0"/>
          <w:numId w:val="3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PN-EN 1426:2005 Materiały do poziomego oznakowania dróg. Wymagania dotyczące poziomego oznakowania dróg</w:t>
      </w:r>
    </w:p>
    <w:p w:rsidR="00084355" w:rsidRPr="00770D48" w:rsidRDefault="00084355" w:rsidP="00A90DA2">
      <w:pPr>
        <w:pStyle w:val="Akapitzlist"/>
        <w:numPr>
          <w:ilvl w:val="0"/>
          <w:numId w:val="3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PN-EN 1426:2005 Materiały do poziomego oznakowania dróg. Wymagania dotyczące poziomego oznakowania dróg (Zmiana A1/2005)</w:t>
      </w:r>
    </w:p>
    <w:p w:rsidR="00084355" w:rsidRPr="00770D48" w:rsidRDefault="00084355" w:rsidP="00A90DA2">
      <w:pPr>
        <w:pStyle w:val="Akapitzlist"/>
        <w:numPr>
          <w:ilvl w:val="0"/>
          <w:numId w:val="3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PN-EN 1871:2003 Materiały do poziomego oznakowania dróg. Właściwości fizyczne</w:t>
      </w:r>
    </w:p>
    <w:p w:rsidR="00084355" w:rsidRPr="00770D48" w:rsidRDefault="00084355" w:rsidP="00A90DA2">
      <w:pPr>
        <w:pStyle w:val="Nagwek2"/>
        <w:keepNext w:val="0"/>
        <w:tabs>
          <w:tab w:val="num" w:pos="680"/>
        </w:tabs>
        <w:ind w:left="1418" w:right="208" w:hanging="567"/>
        <w:jc w:val="both"/>
        <w:rPr>
          <w:lang w:val="pl-PL"/>
        </w:rPr>
      </w:pPr>
      <w:bookmarkStart w:id="36" w:name="_Toc75167499"/>
      <w:r w:rsidRPr="00770D48">
        <w:rPr>
          <w:lang w:val="pl-PL"/>
        </w:rPr>
        <w:t>Inne dokumenty</w:t>
      </w:r>
      <w:bookmarkEnd w:id="36"/>
    </w:p>
    <w:p w:rsidR="00D70AB5" w:rsidRPr="00A43EB7" w:rsidRDefault="00D70AB5" w:rsidP="00D70AB5">
      <w:pPr>
        <w:pStyle w:val="Akapitzlist"/>
        <w:numPr>
          <w:ilvl w:val="0"/>
          <w:numId w:val="33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43EB7">
        <w:rPr>
          <w:rFonts w:ascii="Verdana" w:hAnsi="Verdana" w:cs="Verdana"/>
          <w:sz w:val="18"/>
          <w:szCs w:val="18"/>
          <w:lang w:val="pl-PL"/>
        </w:rPr>
        <w:t>Rozporządzenie Ministrów Infrastruktury oraz Spraw Wewnętrznych i Administracji z dnia 31 lipca 2002 r. w sprawie znaków i sygnałów drogowych (</w:t>
      </w:r>
      <w:proofErr w:type="spellStart"/>
      <w:r w:rsidRPr="00A43EB7">
        <w:rPr>
          <w:rFonts w:ascii="Verdana" w:hAnsi="Verdana" w:cs="Verdana"/>
          <w:sz w:val="18"/>
          <w:szCs w:val="18"/>
          <w:lang w:val="pl-PL"/>
        </w:rPr>
        <w:t>t.j</w:t>
      </w:r>
      <w:proofErr w:type="spellEnd"/>
      <w:r w:rsidRPr="00A43EB7">
        <w:rPr>
          <w:rFonts w:ascii="Verdana" w:hAnsi="Verdana" w:cs="Verdana"/>
          <w:sz w:val="18"/>
          <w:szCs w:val="18"/>
          <w:lang w:val="pl-PL"/>
        </w:rPr>
        <w:t>. Dz.U. 2019 poz. 2310 z późn. zm.)</w:t>
      </w:r>
    </w:p>
    <w:p w:rsidR="00D70AB5" w:rsidRPr="00A43EB7" w:rsidRDefault="00D70AB5" w:rsidP="00D70AB5">
      <w:pPr>
        <w:pStyle w:val="Akapitzlist"/>
        <w:numPr>
          <w:ilvl w:val="0"/>
          <w:numId w:val="33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A43EB7">
        <w:rPr>
          <w:rFonts w:ascii="Verdana" w:hAnsi="Verdana" w:cs="Verdana"/>
          <w:sz w:val="18"/>
          <w:szCs w:val="18"/>
          <w:lang w:val="pl-PL"/>
        </w:rPr>
        <w:lastRenderedPageBreak/>
        <w:t>Załączniki nr 1-4 do Rozporządzenia Ministra Infrastruktury z dnia 3 lipca 2003 r. w sprawie szczegółowych warunków technicznych dla znaków i sygnałów drogowych oraz urządzeń bezpieczeństwa ruchu drogowego i warunków ich umieszczania na drogach (</w:t>
      </w:r>
      <w:proofErr w:type="spellStart"/>
      <w:r w:rsidRPr="00A43EB7">
        <w:rPr>
          <w:rFonts w:ascii="Verdana" w:hAnsi="Verdana" w:cs="Verdana"/>
          <w:sz w:val="18"/>
          <w:szCs w:val="18"/>
          <w:lang w:val="pl-PL"/>
        </w:rPr>
        <w:t>t.j</w:t>
      </w:r>
      <w:proofErr w:type="spellEnd"/>
      <w:r w:rsidRPr="00A43EB7">
        <w:rPr>
          <w:rFonts w:ascii="Verdana" w:hAnsi="Verdana" w:cs="Verdana"/>
          <w:sz w:val="18"/>
          <w:szCs w:val="18"/>
          <w:lang w:val="pl-PL"/>
        </w:rPr>
        <w:t>. Dz.U. 2019 poz. 2311, z późn. zm.).</w:t>
      </w:r>
    </w:p>
    <w:p w:rsidR="00770D48" w:rsidRPr="00770D48" w:rsidRDefault="00770D48" w:rsidP="00A90DA2">
      <w:pPr>
        <w:pStyle w:val="Akapitzlist"/>
        <w:numPr>
          <w:ilvl w:val="0"/>
          <w:numId w:val="21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Rozporządzenie Ministra Infrastruktury z dnia 17 listopada 2016 r. w sprawie sposobów deklarowania zgodności wyrobów budowlanych oraz sposobu znakowania ich znakiem budowlanym (Dz.U. 2016 poz. 1966 z późn. zm.)</w:t>
      </w:r>
    </w:p>
    <w:p w:rsidR="00084355" w:rsidRPr="00770D48" w:rsidRDefault="00084355" w:rsidP="00A90DA2">
      <w:pPr>
        <w:pStyle w:val="Akapitzlist"/>
        <w:numPr>
          <w:ilvl w:val="0"/>
          <w:numId w:val="21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Warunki Techniczne. Poziome oznakowanie dróg. POD-97. Seria „I” – Informacje, Instrukcje. Zeszyt nr 55. 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IBDiM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>, Warszawa, 1997</w:t>
      </w:r>
    </w:p>
    <w:p w:rsidR="00084355" w:rsidRPr="00770D48" w:rsidRDefault="00084355" w:rsidP="00A90DA2">
      <w:pPr>
        <w:pStyle w:val="Akapitzlist"/>
        <w:numPr>
          <w:ilvl w:val="0"/>
          <w:numId w:val="21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Warunki 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Tehcniczne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 xml:space="preserve">. Poziome oznakowanie dróg. POD-2006. Seria „I” – Informacje, Instrukcje. 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IBDiM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>, Warszawa, w opracowaniu.</w:t>
      </w:r>
    </w:p>
    <w:p w:rsidR="00084355" w:rsidRPr="00770D48" w:rsidRDefault="00084355" w:rsidP="00A90DA2">
      <w:pPr>
        <w:pStyle w:val="Akapitzlist"/>
        <w:numPr>
          <w:ilvl w:val="0"/>
          <w:numId w:val="21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Prawo przewozowe (Dz. U. nr 53 z 1984 r., poz. 272 z późniejszymi zmianami) </w:t>
      </w:r>
    </w:p>
    <w:p w:rsidR="00084355" w:rsidRPr="00770D48" w:rsidRDefault="00084355" w:rsidP="00A90DA2">
      <w:pPr>
        <w:pStyle w:val="Akapitzlist"/>
        <w:numPr>
          <w:ilvl w:val="0"/>
          <w:numId w:val="21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Rozporządzenie Ministra Infrastruktury z dnia 11 sierpnia 2004 r. w sprawie systemów oceny zgodności, wymagań jakie powinny spełniać notyfikowane jednostki uczestniczące w ocenie zgodności oraz sposobu oznaczania wyrobów budowlanych oznakowaniem CE (Dz. U. nr</w:t>
      </w:r>
      <w:r w:rsid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195, poz. 2011) </w:t>
      </w:r>
    </w:p>
    <w:p w:rsidR="00084355" w:rsidRPr="00770D48" w:rsidRDefault="00084355" w:rsidP="00A90DA2">
      <w:pPr>
        <w:pStyle w:val="Akapitzlist"/>
        <w:numPr>
          <w:ilvl w:val="0"/>
          <w:numId w:val="21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>Rozporządzenie Ministra Zdrowia z dnia 2 września 2003 r. w sprawie oznakowania opakowań substancji niebezpiecznych i preparatów niebezpiecznych (Dz. U. nr 73, poz.</w:t>
      </w:r>
      <w:r w:rsid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1679) </w:t>
      </w:r>
    </w:p>
    <w:p w:rsidR="00084355" w:rsidRPr="00770D48" w:rsidRDefault="00084355" w:rsidP="00A90DA2">
      <w:pPr>
        <w:pStyle w:val="Akapitzlist"/>
        <w:numPr>
          <w:ilvl w:val="0"/>
          <w:numId w:val="21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Umowa europejska dotycząca międzynarodowego przewozu towarów niebezpiecznych (RID/ADR). </w:t>
      </w:r>
    </w:p>
    <w:p w:rsidR="00084355" w:rsidRPr="00770D48" w:rsidRDefault="00084355" w:rsidP="00A90DA2">
      <w:pPr>
        <w:pStyle w:val="Akapitzlist"/>
        <w:numPr>
          <w:ilvl w:val="0"/>
          <w:numId w:val="21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DIN 67520 Cz. 3 Materiały retro refleksyjne w bezpieczeństwie ruchu drogowego. Fotometryczna ocena, pomiary i charakterystyka materiałów retro refleksyjnych. </w:t>
      </w:r>
    </w:p>
    <w:p w:rsidR="00084355" w:rsidRPr="00770D48" w:rsidRDefault="00084355" w:rsidP="00A90DA2">
      <w:pPr>
        <w:pStyle w:val="Akapitzlist"/>
        <w:numPr>
          <w:ilvl w:val="0"/>
          <w:numId w:val="21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NF P 98-606/1989 Pozioma sygnalizacja drogowa. Znakowanie jezdni. Retro odbicie. </w:t>
      </w:r>
    </w:p>
    <w:p w:rsidR="00084355" w:rsidRPr="00770D48" w:rsidRDefault="00084355" w:rsidP="00A90DA2">
      <w:pPr>
        <w:pStyle w:val="Akapitzlist"/>
        <w:numPr>
          <w:ilvl w:val="0"/>
          <w:numId w:val="21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Wytyczne technologiczne stosowania materiałów cienkowarstwowych do poziomego znakowania dróg - 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IBDiM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 xml:space="preserve"> W-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wa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 xml:space="preserve"> 1993 r. </w:t>
      </w:r>
    </w:p>
    <w:p w:rsidR="00084355" w:rsidRPr="00770D48" w:rsidRDefault="00084355" w:rsidP="00A90DA2">
      <w:pPr>
        <w:pStyle w:val="Akapitzlist"/>
        <w:numPr>
          <w:ilvl w:val="0"/>
          <w:numId w:val="21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TRRL Road 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Note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 xml:space="preserve"> No. 25 Instrukcja używania przenośnego wahadła angielskiego SRT, 1969</w:t>
      </w:r>
      <w:r w:rsidR="00770D48">
        <w:rPr>
          <w:rFonts w:ascii="Verdana" w:hAnsi="Verdana" w:cs="Verdana"/>
          <w:sz w:val="18"/>
          <w:szCs w:val="18"/>
          <w:lang w:val="pl-PL"/>
        </w:rPr>
        <w:t> </w:t>
      </w:r>
      <w:r w:rsidRPr="00770D48">
        <w:rPr>
          <w:rFonts w:ascii="Verdana" w:hAnsi="Verdana" w:cs="Verdana"/>
          <w:sz w:val="18"/>
          <w:szCs w:val="18"/>
          <w:lang w:val="pl-PL"/>
        </w:rPr>
        <w:t xml:space="preserve">r. </w:t>
      </w:r>
    </w:p>
    <w:p w:rsidR="00084355" w:rsidRPr="00770D48" w:rsidRDefault="00084355" w:rsidP="00A90DA2">
      <w:pPr>
        <w:pStyle w:val="Akapitzlist"/>
        <w:numPr>
          <w:ilvl w:val="0"/>
          <w:numId w:val="21"/>
        </w:numPr>
        <w:spacing w:before="60" w:after="60" w:line="276" w:lineRule="auto"/>
        <w:ind w:right="208"/>
        <w:jc w:val="both"/>
        <w:rPr>
          <w:rFonts w:ascii="Verdana" w:hAnsi="Verdana" w:cs="Verdana"/>
          <w:sz w:val="18"/>
          <w:szCs w:val="18"/>
          <w:lang w:val="pl-PL"/>
        </w:rPr>
      </w:pPr>
      <w:r w:rsidRPr="00770D48">
        <w:rPr>
          <w:rFonts w:ascii="Verdana" w:hAnsi="Verdana" w:cs="Verdana"/>
          <w:sz w:val="18"/>
          <w:szCs w:val="18"/>
          <w:lang w:val="pl-PL"/>
        </w:rPr>
        <w:t xml:space="preserve">System dopuszczenia do stosowania materiałów i wyrobów do poziomego znakowania dróg, </w:t>
      </w:r>
      <w:proofErr w:type="spellStart"/>
      <w:r w:rsidRPr="00770D48">
        <w:rPr>
          <w:rFonts w:ascii="Verdana" w:hAnsi="Verdana" w:cs="Verdana"/>
          <w:sz w:val="18"/>
          <w:szCs w:val="18"/>
          <w:lang w:val="pl-PL"/>
        </w:rPr>
        <w:t>IBDiM</w:t>
      </w:r>
      <w:proofErr w:type="spellEnd"/>
      <w:r w:rsidRPr="00770D48">
        <w:rPr>
          <w:rFonts w:ascii="Verdana" w:hAnsi="Verdana" w:cs="Verdana"/>
          <w:sz w:val="18"/>
          <w:szCs w:val="18"/>
          <w:lang w:val="pl-PL"/>
        </w:rPr>
        <w:t xml:space="preserve">-GDDP, 1994. </w:t>
      </w:r>
    </w:p>
    <w:sectPr w:rsidR="00084355" w:rsidRPr="00770D48" w:rsidSect="00AE772E">
      <w:headerReference w:type="default" r:id="rId8"/>
      <w:footerReference w:type="default" r:id="rId9"/>
      <w:type w:val="continuous"/>
      <w:pgSz w:w="11916" w:h="16848"/>
      <w:pgMar w:top="492" w:right="1143" w:bottom="260" w:left="5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6F4" w:rsidRDefault="003556F4" w:rsidP="00334CCE">
      <w:r>
        <w:separator/>
      </w:r>
    </w:p>
  </w:endnote>
  <w:endnote w:type="continuationSeparator" w:id="0">
    <w:p w:rsidR="003556F4" w:rsidRDefault="003556F4" w:rsidP="00334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gerian">
    <w:altName w:val="Juice ITC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Times New Roman"/>
    <w:charset w:val="00"/>
    <w:family w:val="auto"/>
    <w:pitch w:val="variable"/>
    <w:sig w:usb0="8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3C" w:rsidRPr="00B03C00" w:rsidRDefault="003556F4" w:rsidP="00B03C00">
    <w:pPr>
      <w:pStyle w:val="STT"/>
      <w:contextualSpacing w:val="0"/>
      <w:jc w:val="center"/>
    </w:pPr>
    <w:r>
      <w:rPr>
        <w:rFonts w:asciiTheme="minorHAnsi" w:hAnsiTheme="minorHAnsi" w:cstheme="minorBidi"/>
        <w:noProof/>
        <w:color w:val="auto"/>
        <w:lang w:eastAsia="pl-PL"/>
      </w:rPr>
      <w:pict>
        <v:shape id="Freeform 103" o:spid="_x0000_s2049" style="position:absolute;left:0;text-align:left;margin-left:62.4pt;margin-top:-1.5pt;width:477.8pt;height:1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68314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" path="m,18288r6068314,l6068314,,,,,18288xe" fillcolor="black" stroked="f" strokeweight="1pt">
          <v:path arrowok="t"/>
          <w10:wrap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6F4" w:rsidRDefault="003556F4" w:rsidP="00334CCE">
      <w:r>
        <w:separator/>
      </w:r>
    </w:p>
  </w:footnote>
  <w:footnote w:type="continuationSeparator" w:id="0">
    <w:p w:rsidR="003556F4" w:rsidRDefault="003556F4" w:rsidP="00334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3C" w:rsidRPr="001C2A30" w:rsidRDefault="00401A3C" w:rsidP="00C21218">
    <w:pPr>
      <w:tabs>
        <w:tab w:val="right" w:pos="10206"/>
      </w:tabs>
      <w:spacing w:line="256" w:lineRule="exact"/>
      <w:ind w:left="713" w:right="-75"/>
      <w:rPr>
        <w:rFonts w:ascii="Times New Roman" w:hAnsi="Times New Roman" w:cs="Times New Roman"/>
        <w:color w:val="010302"/>
        <w:lang w:val="pl-PL"/>
      </w:rPr>
    </w:pPr>
    <w:r>
      <w:rPr>
        <w:rFonts w:ascii="Verdana" w:hAnsi="Verdana" w:cs="Verdana"/>
        <w:color w:val="000000"/>
        <w:sz w:val="16"/>
        <w:szCs w:val="16"/>
        <w:lang w:val="pl-PL"/>
      </w:rPr>
      <w:t>STW</w:t>
    </w:r>
    <w:r w:rsidRPr="001C2A30">
      <w:rPr>
        <w:rFonts w:ascii="Verdana" w:hAnsi="Verdana" w:cs="Verdana"/>
        <w:color w:val="000000"/>
        <w:sz w:val="16"/>
        <w:szCs w:val="16"/>
        <w:lang w:val="pl-PL"/>
      </w:rPr>
      <w:t>iOR</w:t>
    </w:r>
    <w:r w:rsidRPr="001C2A30">
      <w:rPr>
        <w:rFonts w:ascii="Verdana" w:hAnsi="Verdana" w:cs="Verdana"/>
        <w:color w:val="000000"/>
        <w:spacing w:val="-2"/>
        <w:sz w:val="16"/>
        <w:szCs w:val="16"/>
        <w:lang w:val="pl-PL"/>
      </w:rPr>
      <w:t>B</w:t>
    </w:r>
    <w:r w:rsidRPr="001C2A30">
      <w:rPr>
        <w:rFonts w:ascii="Verdana" w:hAnsi="Verdana" w:cs="Verdana"/>
        <w:color w:val="000000"/>
        <w:sz w:val="16"/>
        <w:szCs w:val="16"/>
        <w:lang w:val="pl-PL"/>
      </w:rPr>
      <w:t xml:space="preserve"> D</w:t>
    </w:r>
    <w:r w:rsidRPr="001C2A30">
      <w:rPr>
        <w:rFonts w:ascii="Verdana" w:hAnsi="Verdana" w:cs="Verdana"/>
        <w:color w:val="000000"/>
        <w:spacing w:val="-3"/>
        <w:sz w:val="16"/>
        <w:szCs w:val="16"/>
        <w:lang w:val="pl-PL"/>
      </w:rPr>
      <w:t>-</w:t>
    </w:r>
    <w:r>
      <w:rPr>
        <w:rFonts w:ascii="Verdana" w:hAnsi="Verdana" w:cs="Verdana"/>
        <w:color w:val="000000"/>
        <w:sz w:val="16"/>
        <w:szCs w:val="16"/>
        <w:lang w:val="pl-PL"/>
      </w:rPr>
      <w:t>07.01</w:t>
    </w:r>
    <w:r w:rsidRPr="001C2A30">
      <w:rPr>
        <w:rFonts w:ascii="Verdana" w:hAnsi="Verdana" w:cs="Verdana"/>
        <w:color w:val="000000"/>
        <w:spacing w:val="-3"/>
        <w:sz w:val="16"/>
        <w:szCs w:val="16"/>
        <w:lang w:val="pl-PL"/>
      </w:rPr>
      <w:t>.</w:t>
    </w:r>
    <w:r w:rsidRPr="001C2A30">
      <w:rPr>
        <w:rFonts w:ascii="Verdana" w:hAnsi="Verdana" w:cs="Verdana"/>
        <w:color w:val="000000"/>
        <w:sz w:val="16"/>
        <w:szCs w:val="16"/>
        <w:lang w:val="pl-PL"/>
      </w:rPr>
      <w:t>01</w:t>
    </w:r>
    <w:r>
      <w:rPr>
        <w:rFonts w:ascii="Verdana" w:hAnsi="Verdana" w:cs="Verdana"/>
        <w:color w:val="000000"/>
        <w:sz w:val="16"/>
        <w:szCs w:val="16"/>
        <w:lang w:val="pl-PL"/>
      </w:rPr>
      <w:tab/>
      <w:t>OZNAKOWANIE POZIOME</w:t>
    </w:r>
  </w:p>
  <w:p w:rsidR="00401A3C" w:rsidRPr="001C109F" w:rsidRDefault="003556F4" w:rsidP="001C109F">
    <w:pPr>
      <w:spacing w:after="54"/>
      <w:rPr>
        <w:rFonts w:ascii="Times New Roman" w:hAnsi="Times New Roman"/>
        <w:color w:val="000000" w:themeColor="text1"/>
        <w:sz w:val="24"/>
        <w:szCs w:val="24"/>
        <w:lang w:val="pl-PL"/>
      </w:rPr>
    </w:pPr>
    <w:r>
      <w:rPr>
        <w:noProof/>
        <w:lang w:val="pl-PL" w:eastAsia="pl-PL"/>
      </w:rPr>
      <w:pict>
        <v:shape id="Freeform 104" o:spid="_x0000_s2050" style="position:absolute;margin-left:62.4pt;margin-top:.7pt;width:477.95pt;height:1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6983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" path="m,18288r6069838,l6069838,,,,,18288xe" fillcolor="black" stroked="f" strokeweight="1pt">
          <v:path arrowok="t"/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B2FD5"/>
    <w:multiLevelType w:val="hybridMultilevel"/>
    <w:tmpl w:val="90B88988"/>
    <w:name w:val="WW8Num182"/>
    <w:lvl w:ilvl="0" w:tplc="25021DF2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D80DA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F5300"/>
    <w:multiLevelType w:val="multilevel"/>
    <w:tmpl w:val="C6A6718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128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/>
        <w:bCs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CD50193"/>
    <w:multiLevelType w:val="hybridMultilevel"/>
    <w:tmpl w:val="140EE1EC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F7521B6"/>
    <w:multiLevelType w:val="hybridMultilevel"/>
    <w:tmpl w:val="97ECBD7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FF6EA628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AFE2C20"/>
    <w:multiLevelType w:val="hybridMultilevel"/>
    <w:tmpl w:val="2C32FD36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B5D7D5A"/>
    <w:multiLevelType w:val="hybridMultilevel"/>
    <w:tmpl w:val="85A0EBEE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D1F699F"/>
    <w:multiLevelType w:val="hybridMultilevel"/>
    <w:tmpl w:val="B880971A"/>
    <w:lvl w:ilvl="0" w:tplc="376E012C">
      <w:start w:val="1"/>
      <w:numFmt w:val="decimal"/>
      <w:lvlText w:val="%1"/>
      <w:legacy w:legacy="1" w:legacySpace="120" w:legacyIndent="360"/>
      <w:lvlJc w:val="left"/>
    </w:lvl>
    <w:lvl w:ilvl="1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5792E"/>
    <w:multiLevelType w:val="hybridMultilevel"/>
    <w:tmpl w:val="59429FBC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F2E67"/>
    <w:multiLevelType w:val="hybridMultilevel"/>
    <w:tmpl w:val="C25CFAF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FF6EA628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8417BF3"/>
    <w:multiLevelType w:val="hybridMultilevel"/>
    <w:tmpl w:val="ECDA2848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D1D7106"/>
    <w:multiLevelType w:val="hybridMultilevel"/>
    <w:tmpl w:val="63DC6230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E692BC7"/>
    <w:multiLevelType w:val="hybridMultilevel"/>
    <w:tmpl w:val="35D22A16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0735877"/>
    <w:multiLevelType w:val="hybridMultilevel"/>
    <w:tmpl w:val="12628D7E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484696B"/>
    <w:multiLevelType w:val="hybridMultilevel"/>
    <w:tmpl w:val="F920F246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48A4474"/>
    <w:multiLevelType w:val="hybridMultilevel"/>
    <w:tmpl w:val="90603B60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4920BC5"/>
    <w:multiLevelType w:val="hybridMultilevel"/>
    <w:tmpl w:val="86061C0A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6AA4580"/>
    <w:multiLevelType w:val="hybridMultilevel"/>
    <w:tmpl w:val="08A89598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7FD1F76"/>
    <w:multiLevelType w:val="hybridMultilevel"/>
    <w:tmpl w:val="B6CEA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D24ED"/>
    <w:multiLevelType w:val="hybridMultilevel"/>
    <w:tmpl w:val="A5C4E1EE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A4C3115"/>
    <w:multiLevelType w:val="hybridMultilevel"/>
    <w:tmpl w:val="075CD27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3AAD2DC6"/>
    <w:multiLevelType w:val="hybridMultilevel"/>
    <w:tmpl w:val="674C6D54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1F085D"/>
    <w:multiLevelType w:val="hybridMultilevel"/>
    <w:tmpl w:val="041ABE42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65A2D5F"/>
    <w:multiLevelType w:val="hybridMultilevel"/>
    <w:tmpl w:val="964A1B2E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8A94F6F"/>
    <w:multiLevelType w:val="hybridMultilevel"/>
    <w:tmpl w:val="51EE9BE4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4C867601"/>
    <w:multiLevelType w:val="hybridMultilevel"/>
    <w:tmpl w:val="B6CEA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644F97"/>
    <w:multiLevelType w:val="hybridMultilevel"/>
    <w:tmpl w:val="964A1B2E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18C293F"/>
    <w:multiLevelType w:val="hybridMultilevel"/>
    <w:tmpl w:val="00FE75EC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52E96FB4"/>
    <w:multiLevelType w:val="hybridMultilevel"/>
    <w:tmpl w:val="1A12A6A6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548116CB"/>
    <w:multiLevelType w:val="hybridMultilevel"/>
    <w:tmpl w:val="3698E34C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9166F57"/>
    <w:multiLevelType w:val="hybridMultilevel"/>
    <w:tmpl w:val="47AC0926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5A215FCC"/>
    <w:multiLevelType w:val="hybridMultilevel"/>
    <w:tmpl w:val="C1EAAE92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A861169"/>
    <w:multiLevelType w:val="hybridMultilevel"/>
    <w:tmpl w:val="11D43898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5B62ED"/>
    <w:multiLevelType w:val="hybridMultilevel"/>
    <w:tmpl w:val="E41205A4"/>
    <w:lvl w:ilvl="0" w:tplc="AFA4BBB6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pStyle w:val="Nagwek2Pogrubieni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FE687E"/>
    <w:multiLevelType w:val="hybridMultilevel"/>
    <w:tmpl w:val="964A1B2E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3A042D0"/>
    <w:multiLevelType w:val="hybridMultilevel"/>
    <w:tmpl w:val="E6D4D26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FF6EA628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64EE3DC6"/>
    <w:multiLevelType w:val="hybridMultilevel"/>
    <w:tmpl w:val="3EC22058"/>
    <w:lvl w:ilvl="0" w:tplc="FF6EA6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77A720DB"/>
    <w:multiLevelType w:val="hybridMultilevel"/>
    <w:tmpl w:val="60CC0F1C"/>
    <w:name w:val="WW8Num1822"/>
    <w:lvl w:ilvl="0" w:tplc="D520BDA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2"/>
  </w:num>
  <w:num w:numId="3">
    <w:abstractNumId w:val="22"/>
  </w:num>
  <w:num w:numId="4">
    <w:abstractNumId w:val="11"/>
  </w:num>
  <w:num w:numId="5">
    <w:abstractNumId w:val="16"/>
  </w:num>
  <w:num w:numId="6">
    <w:abstractNumId w:val="15"/>
  </w:num>
  <w:num w:numId="7">
    <w:abstractNumId w:val="18"/>
  </w:num>
  <w:num w:numId="8">
    <w:abstractNumId w:val="10"/>
  </w:num>
  <w:num w:numId="9">
    <w:abstractNumId w:val="26"/>
  </w:num>
  <w:num w:numId="10">
    <w:abstractNumId w:val="5"/>
  </w:num>
  <w:num w:numId="11">
    <w:abstractNumId w:val="8"/>
  </w:num>
  <w:num w:numId="12">
    <w:abstractNumId w:val="27"/>
  </w:num>
  <w:num w:numId="13">
    <w:abstractNumId w:val="30"/>
  </w:num>
  <w:num w:numId="14">
    <w:abstractNumId w:val="13"/>
  </w:num>
  <w:num w:numId="1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9"/>
  </w:num>
  <w:num w:numId="23">
    <w:abstractNumId w:val="35"/>
  </w:num>
  <w:num w:numId="24">
    <w:abstractNumId w:val="28"/>
  </w:num>
  <w:num w:numId="25">
    <w:abstractNumId w:val="19"/>
  </w:num>
  <w:num w:numId="26">
    <w:abstractNumId w:val="34"/>
  </w:num>
  <w:num w:numId="27">
    <w:abstractNumId w:val="4"/>
  </w:num>
  <w:num w:numId="28">
    <w:abstractNumId w:val="3"/>
  </w:num>
  <w:num w:numId="29">
    <w:abstractNumId w:val="21"/>
  </w:num>
  <w:num w:numId="30">
    <w:abstractNumId w:val="23"/>
  </w:num>
  <w:num w:numId="31">
    <w:abstractNumId w:val="12"/>
  </w:num>
  <w:num w:numId="32">
    <w:abstractNumId w:val="2"/>
  </w:num>
  <w:num w:numId="33">
    <w:abstractNumId w:val="25"/>
  </w:num>
  <w:num w:numId="34">
    <w:abstractNumId w:val="0"/>
  </w:num>
  <w:num w:numId="35">
    <w:abstractNumId w:val="17"/>
  </w:num>
  <w:num w:numId="36">
    <w:abstractNumId w:val="24"/>
  </w:num>
  <w:num w:numId="37">
    <w:abstractNumId w:val="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24C24"/>
    <w:rsid w:val="00002C3F"/>
    <w:rsid w:val="00021A83"/>
    <w:rsid w:val="00075A0D"/>
    <w:rsid w:val="0007601F"/>
    <w:rsid w:val="00084355"/>
    <w:rsid w:val="000846C3"/>
    <w:rsid w:val="00092298"/>
    <w:rsid w:val="000B7060"/>
    <w:rsid w:val="000C3EE0"/>
    <w:rsid w:val="00116647"/>
    <w:rsid w:val="001311F0"/>
    <w:rsid w:val="00196812"/>
    <w:rsid w:val="001C109F"/>
    <w:rsid w:val="001E509E"/>
    <w:rsid w:val="001F2F8F"/>
    <w:rsid w:val="00227937"/>
    <w:rsid w:val="0026713A"/>
    <w:rsid w:val="00334CCE"/>
    <w:rsid w:val="0035306A"/>
    <w:rsid w:val="003556F4"/>
    <w:rsid w:val="00365BE7"/>
    <w:rsid w:val="0038368B"/>
    <w:rsid w:val="00385FEF"/>
    <w:rsid w:val="003863CD"/>
    <w:rsid w:val="003A4C1E"/>
    <w:rsid w:val="00401A3C"/>
    <w:rsid w:val="00423252"/>
    <w:rsid w:val="004238A4"/>
    <w:rsid w:val="00515FB6"/>
    <w:rsid w:val="005E6AC2"/>
    <w:rsid w:val="005F54C9"/>
    <w:rsid w:val="00620B7F"/>
    <w:rsid w:val="00653618"/>
    <w:rsid w:val="00664268"/>
    <w:rsid w:val="006B7D62"/>
    <w:rsid w:val="006C79F6"/>
    <w:rsid w:val="006E4375"/>
    <w:rsid w:val="006E5B7A"/>
    <w:rsid w:val="00765FC9"/>
    <w:rsid w:val="00770D48"/>
    <w:rsid w:val="007B78B5"/>
    <w:rsid w:val="00802F72"/>
    <w:rsid w:val="00835082"/>
    <w:rsid w:val="008375DE"/>
    <w:rsid w:val="008708F1"/>
    <w:rsid w:val="00887E78"/>
    <w:rsid w:val="008A3399"/>
    <w:rsid w:val="008D61CB"/>
    <w:rsid w:val="00924C24"/>
    <w:rsid w:val="009513C1"/>
    <w:rsid w:val="009B3BCE"/>
    <w:rsid w:val="009B511E"/>
    <w:rsid w:val="009D6875"/>
    <w:rsid w:val="00A32ECE"/>
    <w:rsid w:val="00A411A8"/>
    <w:rsid w:val="00A90DA2"/>
    <w:rsid w:val="00AE10EB"/>
    <w:rsid w:val="00AE772E"/>
    <w:rsid w:val="00B03C00"/>
    <w:rsid w:val="00B11EE3"/>
    <w:rsid w:val="00B96C9E"/>
    <w:rsid w:val="00BA1B7A"/>
    <w:rsid w:val="00BC69A3"/>
    <w:rsid w:val="00C21218"/>
    <w:rsid w:val="00C276AB"/>
    <w:rsid w:val="00C63172"/>
    <w:rsid w:val="00C71C02"/>
    <w:rsid w:val="00CB72EC"/>
    <w:rsid w:val="00D31553"/>
    <w:rsid w:val="00D70AB5"/>
    <w:rsid w:val="00D76FC6"/>
    <w:rsid w:val="00DB2065"/>
    <w:rsid w:val="00DC213F"/>
    <w:rsid w:val="00DD75EA"/>
    <w:rsid w:val="00DF7517"/>
    <w:rsid w:val="00E01C7F"/>
    <w:rsid w:val="00E1772B"/>
    <w:rsid w:val="00EA4D55"/>
    <w:rsid w:val="00ED419E"/>
    <w:rsid w:val="00EE192A"/>
    <w:rsid w:val="00F0426E"/>
    <w:rsid w:val="00F217C9"/>
    <w:rsid w:val="00F221DF"/>
    <w:rsid w:val="00F507D2"/>
    <w:rsid w:val="00F50A7D"/>
    <w:rsid w:val="00F86C4C"/>
    <w:rsid w:val="00F934BB"/>
    <w:rsid w:val="00FA1DEB"/>
    <w:rsid w:val="00FE1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83441CED-2C66-4ED7-997C-E2ED04C2B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2C3F"/>
  </w:style>
  <w:style w:type="paragraph" w:styleId="Nagwek1">
    <w:name w:val="heading 1"/>
    <w:aliases w:val="Title 1"/>
    <w:basedOn w:val="Normalny"/>
    <w:next w:val="Normalny"/>
    <w:link w:val="Nagwek1Znak"/>
    <w:uiPriority w:val="9"/>
    <w:qFormat/>
    <w:rsid w:val="00334CCE"/>
    <w:pPr>
      <w:keepNext/>
      <w:keepLines/>
      <w:numPr>
        <w:numId w:val="1"/>
      </w:numPr>
      <w:spacing w:before="480"/>
      <w:outlineLvl w:val="0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paragraph" w:styleId="Nagwek2">
    <w:name w:val="heading 2"/>
    <w:aliases w:val="Title 2 Znak Znak,Title 2"/>
    <w:basedOn w:val="Normalny"/>
    <w:next w:val="Normalny"/>
    <w:link w:val="Nagwek2Znak"/>
    <w:uiPriority w:val="9"/>
    <w:unhideWhenUsed/>
    <w:qFormat/>
    <w:rsid w:val="009513C1"/>
    <w:pPr>
      <w:keepNext/>
      <w:keepLines/>
      <w:numPr>
        <w:ilvl w:val="1"/>
        <w:numId w:val="1"/>
      </w:numPr>
      <w:spacing w:before="40"/>
      <w:outlineLvl w:val="1"/>
    </w:pPr>
    <w:rPr>
      <w:rFonts w:ascii="Verdana" w:eastAsiaTheme="majorEastAsia" w:hAnsi="Verdana" w:cstheme="majorBidi"/>
      <w:b/>
      <w:sz w:val="1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B511E"/>
    <w:pPr>
      <w:keepNext/>
      <w:keepLines/>
      <w:numPr>
        <w:ilvl w:val="2"/>
        <w:numId w:val="1"/>
      </w:numPr>
      <w:spacing w:before="40"/>
      <w:outlineLvl w:val="2"/>
    </w:pPr>
    <w:rPr>
      <w:rFonts w:ascii="Verdana" w:eastAsiaTheme="majorEastAsia" w:hAnsi="Verdana" w:cstheme="majorBidi"/>
      <w:color w:val="243F60" w:themeColor="accent1" w:themeShade="7F"/>
      <w:sz w:val="18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9B511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511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511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511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511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511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2C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002C3F"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kapitzlist">
    <w:name w:val="List Paragraph"/>
    <w:aliases w:val="myslnik"/>
    <w:basedOn w:val="Normalny"/>
    <w:uiPriority w:val="34"/>
    <w:qFormat/>
    <w:rsid w:val="00002C3F"/>
  </w:style>
  <w:style w:type="paragraph" w:customStyle="1" w:styleId="TableParagraph">
    <w:name w:val="Table Paragraph"/>
    <w:basedOn w:val="Normalny"/>
    <w:uiPriority w:val="1"/>
    <w:qFormat/>
    <w:rsid w:val="00002C3F"/>
  </w:style>
  <w:style w:type="table" w:styleId="Tabela-Siatka">
    <w:name w:val="Table Grid"/>
    <w:basedOn w:val="TableNormal"/>
    <w:uiPriority w:val="3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Title 1 Znak"/>
    <w:basedOn w:val="Domylnaczcionkaakapitu"/>
    <w:link w:val="Nagwek1"/>
    <w:uiPriority w:val="9"/>
    <w:rsid w:val="00334CCE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34C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4CCE"/>
  </w:style>
  <w:style w:type="paragraph" w:styleId="Stopka">
    <w:name w:val="footer"/>
    <w:basedOn w:val="Normalny"/>
    <w:link w:val="StopkaZnak"/>
    <w:uiPriority w:val="99"/>
    <w:unhideWhenUsed/>
    <w:rsid w:val="00334C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CCE"/>
  </w:style>
  <w:style w:type="paragraph" w:styleId="Nagwekspisutreci">
    <w:name w:val="TOC Heading"/>
    <w:basedOn w:val="Nagwek1"/>
    <w:next w:val="Normalny"/>
    <w:uiPriority w:val="39"/>
    <w:unhideWhenUsed/>
    <w:qFormat/>
    <w:rsid w:val="009B511E"/>
    <w:pPr>
      <w:widowControl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B511E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511E"/>
    <w:pPr>
      <w:widowControl/>
      <w:spacing w:after="100" w:line="259" w:lineRule="auto"/>
      <w:ind w:left="220"/>
    </w:pPr>
    <w:rPr>
      <w:rFonts w:eastAsiaTheme="minorEastAsia"/>
      <w:lang w:val="pl-PL"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9B511E"/>
    <w:pPr>
      <w:widowControl/>
      <w:spacing w:after="100" w:line="259" w:lineRule="auto"/>
      <w:ind w:left="440"/>
    </w:pPr>
    <w:rPr>
      <w:rFonts w:eastAsiaTheme="minorEastAsia"/>
      <w:lang w:val="pl-PL"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9B511E"/>
    <w:pPr>
      <w:widowControl/>
      <w:spacing w:after="100" w:line="259" w:lineRule="auto"/>
      <w:ind w:left="660"/>
    </w:pPr>
    <w:rPr>
      <w:rFonts w:eastAsiaTheme="minorEastAsia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9B511E"/>
    <w:pPr>
      <w:widowControl/>
      <w:spacing w:after="100" w:line="259" w:lineRule="auto"/>
      <w:ind w:left="880"/>
    </w:pPr>
    <w:rPr>
      <w:rFonts w:eastAsiaTheme="minorEastAsia"/>
      <w:lang w:val="pl-PL"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9B511E"/>
    <w:pPr>
      <w:widowControl/>
      <w:spacing w:after="100" w:line="259" w:lineRule="auto"/>
      <w:ind w:left="1100"/>
    </w:pPr>
    <w:rPr>
      <w:rFonts w:eastAsiaTheme="minorEastAsia"/>
      <w:lang w:val="pl-PL"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9B511E"/>
    <w:pPr>
      <w:widowControl/>
      <w:spacing w:after="100" w:line="259" w:lineRule="auto"/>
      <w:ind w:left="1320"/>
    </w:pPr>
    <w:rPr>
      <w:rFonts w:eastAsiaTheme="minorEastAsia"/>
      <w:lang w:val="pl-PL"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9B511E"/>
    <w:pPr>
      <w:widowControl/>
      <w:spacing w:after="100" w:line="259" w:lineRule="auto"/>
      <w:ind w:left="1540"/>
    </w:pPr>
    <w:rPr>
      <w:rFonts w:eastAsiaTheme="minorEastAsia"/>
      <w:lang w:val="pl-PL"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9B511E"/>
    <w:pPr>
      <w:widowControl/>
      <w:spacing w:after="100" w:line="259" w:lineRule="auto"/>
      <w:ind w:left="1760"/>
    </w:pPr>
    <w:rPr>
      <w:rFonts w:eastAsiaTheme="minorEastAsia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9B511E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B511E"/>
    <w:rPr>
      <w:color w:val="605E5C"/>
      <w:shd w:val="clear" w:color="auto" w:fill="E1DFDD"/>
    </w:rPr>
  </w:style>
  <w:style w:type="character" w:customStyle="1" w:styleId="Nagwek2Znak">
    <w:name w:val="Nagłówek 2 Znak"/>
    <w:aliases w:val="Title 2 Znak Znak Znak,Title 2 Znak"/>
    <w:basedOn w:val="Domylnaczcionkaakapitu"/>
    <w:link w:val="Nagwek2"/>
    <w:uiPriority w:val="9"/>
    <w:rsid w:val="009513C1"/>
    <w:rPr>
      <w:rFonts w:ascii="Verdana" w:eastAsiaTheme="majorEastAsia" w:hAnsi="Verdana" w:cstheme="majorBidi"/>
      <w:b/>
      <w:sz w:val="1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B511E"/>
    <w:rPr>
      <w:rFonts w:ascii="Verdana" w:eastAsiaTheme="majorEastAsia" w:hAnsi="Verdana" w:cstheme="majorBidi"/>
      <w:color w:val="243F60" w:themeColor="accent1" w:themeShade="7F"/>
      <w:sz w:val="18"/>
      <w:szCs w:val="24"/>
    </w:rPr>
  </w:style>
  <w:style w:type="character" w:customStyle="1" w:styleId="Nagwek4Znak">
    <w:name w:val="Nagłówek 4 Znak"/>
    <w:basedOn w:val="Domylnaczcionkaakapitu"/>
    <w:link w:val="Nagwek4"/>
    <w:rsid w:val="009B511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511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51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51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511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51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3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3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3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3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3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3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3C1"/>
    <w:rPr>
      <w:rFonts w:ascii="Segoe UI" w:hAnsi="Segoe UI" w:cs="Segoe UI"/>
      <w:sz w:val="18"/>
      <w:szCs w:val="18"/>
    </w:rPr>
  </w:style>
  <w:style w:type="paragraph" w:customStyle="1" w:styleId="StylNagwek3NiePogrubienie">
    <w:name w:val="Styl Nagłówek 3 + Nie Pogrubienie"/>
    <w:basedOn w:val="Nagwek3"/>
    <w:rsid w:val="00E1772B"/>
    <w:pPr>
      <w:keepLines w:val="0"/>
      <w:widowControl/>
      <w:numPr>
        <w:ilvl w:val="0"/>
        <w:numId w:val="0"/>
      </w:numPr>
      <w:tabs>
        <w:tab w:val="left" w:pos="737"/>
      </w:tabs>
      <w:spacing w:before="120"/>
      <w:jc w:val="both"/>
    </w:pPr>
    <w:rPr>
      <w:rFonts w:ascii="Arial" w:eastAsia="Times New Roman" w:hAnsi="Arial" w:cs="Arial"/>
      <w:color w:val="auto"/>
      <w:szCs w:val="26"/>
      <w:lang w:val="pl-PL" w:eastAsia="pl-PL"/>
    </w:rPr>
  </w:style>
  <w:style w:type="paragraph" w:customStyle="1" w:styleId="normalnypunkt">
    <w:name w:val="normalny punkt"/>
    <w:basedOn w:val="Normalny"/>
    <w:rsid w:val="00E1772B"/>
    <w:pPr>
      <w:widowControl/>
      <w:numPr>
        <w:numId w:val="2"/>
      </w:numPr>
      <w:spacing w:before="40"/>
      <w:jc w:val="both"/>
    </w:pPr>
    <w:rPr>
      <w:rFonts w:ascii="Arial" w:eastAsia="Times New Roman" w:hAnsi="Arial" w:cs="Arial"/>
      <w:bCs/>
      <w:iCs/>
      <w:sz w:val="18"/>
      <w:szCs w:val="20"/>
      <w:lang w:val="pl-PL" w:eastAsia="pl-PL"/>
    </w:rPr>
  </w:style>
  <w:style w:type="paragraph" w:customStyle="1" w:styleId="Nagwek2Pogrubienie">
    <w:name w:val="Nagłówek 2 + Pogrubienie"/>
    <w:basedOn w:val="Nagwek2"/>
    <w:rsid w:val="00E1772B"/>
    <w:pPr>
      <w:keepLines w:val="0"/>
      <w:widowControl/>
      <w:numPr>
        <w:numId w:val="2"/>
      </w:numPr>
      <w:spacing w:before="120"/>
      <w:jc w:val="both"/>
    </w:pPr>
    <w:rPr>
      <w:rFonts w:ascii="Arial" w:eastAsia="Times New Roman" w:hAnsi="Arial" w:cs="Arial"/>
      <w:b w:val="0"/>
      <w:bCs/>
      <w:kern w:val="24"/>
      <w:szCs w:val="24"/>
      <w:lang w:val="pl-PL" w:eastAsia="pl-PL"/>
    </w:rPr>
  </w:style>
  <w:style w:type="character" w:customStyle="1" w:styleId="Nagwek10">
    <w:name w:val="Nagłówek #1_"/>
    <w:link w:val="Nagwek11"/>
    <w:locked/>
    <w:rsid w:val="00092298"/>
    <w:rPr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92298"/>
    <w:pPr>
      <w:shd w:val="clear" w:color="auto" w:fill="FFFFFF"/>
      <w:spacing w:line="461" w:lineRule="exact"/>
      <w:jc w:val="both"/>
      <w:outlineLvl w:val="0"/>
    </w:pPr>
    <w:rPr>
      <w:b/>
      <w:bCs/>
    </w:rPr>
  </w:style>
  <w:style w:type="paragraph" w:customStyle="1" w:styleId="Default">
    <w:name w:val="Default"/>
    <w:rsid w:val="0083508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Teksttreci2">
    <w:name w:val="Tekst treści (2)_"/>
    <w:link w:val="Teksttreci21"/>
    <w:uiPriority w:val="99"/>
    <w:rsid w:val="009B3BCE"/>
    <w:rPr>
      <w:rFonts w:ascii="Arial" w:hAnsi="Arial"/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9B3BCE"/>
    <w:pPr>
      <w:shd w:val="clear" w:color="auto" w:fill="FFFFFF"/>
      <w:spacing w:after="240" w:line="298" w:lineRule="exact"/>
      <w:ind w:hanging="520"/>
      <w:jc w:val="both"/>
    </w:pPr>
    <w:rPr>
      <w:rFonts w:ascii="Arial" w:hAnsi="Arial"/>
      <w:sz w:val="19"/>
      <w:szCs w:val="19"/>
    </w:rPr>
  </w:style>
  <w:style w:type="character" w:customStyle="1" w:styleId="Teksttreci27">
    <w:name w:val="Tekst treści (2) + 7"/>
    <w:aliases w:val="5 pt1,Tekst treści (2) + 8,Kursywa2"/>
    <w:uiPriority w:val="99"/>
    <w:rsid w:val="00653618"/>
    <w:rPr>
      <w:rFonts w:ascii="Arial" w:hAnsi="Arial" w:cs="Arial"/>
      <w:sz w:val="15"/>
      <w:szCs w:val="15"/>
      <w:u w:val="none"/>
      <w:shd w:val="clear" w:color="auto" w:fill="FFFFFF"/>
    </w:rPr>
  </w:style>
  <w:style w:type="character" w:customStyle="1" w:styleId="Teksttreci25pt">
    <w:name w:val="Tekst treści (2) + 5 pt"/>
    <w:aliases w:val="Małe litery,Tekst treści (2) + Times New Roman4,5,5 pt4"/>
    <w:uiPriority w:val="99"/>
    <w:rsid w:val="00653618"/>
    <w:rPr>
      <w:rFonts w:ascii="Arial" w:hAnsi="Arial" w:cs="Arial"/>
      <w:smallCaps/>
      <w:sz w:val="10"/>
      <w:szCs w:val="10"/>
      <w:u w:val="none"/>
      <w:shd w:val="clear" w:color="auto" w:fill="FFFFFF"/>
    </w:rPr>
  </w:style>
  <w:style w:type="character" w:customStyle="1" w:styleId="Teksttreci23">
    <w:name w:val="Tekst treści (2)3"/>
    <w:uiPriority w:val="99"/>
    <w:rsid w:val="00653618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22">
    <w:name w:val="Tekst treści (2)2"/>
    <w:uiPriority w:val="99"/>
    <w:rsid w:val="00653618"/>
    <w:rPr>
      <w:rFonts w:ascii="Arial" w:hAnsi="Arial" w:cs="Arial"/>
      <w:sz w:val="19"/>
      <w:szCs w:val="19"/>
      <w:u w:val="none"/>
      <w:shd w:val="clear" w:color="auto" w:fill="FFFFFF"/>
    </w:rPr>
  </w:style>
  <w:style w:type="paragraph" w:styleId="Legenda">
    <w:name w:val="caption"/>
    <w:basedOn w:val="Normalny"/>
    <w:next w:val="Normalny"/>
    <w:uiPriority w:val="35"/>
    <w:unhideWhenUsed/>
    <w:qFormat/>
    <w:rsid w:val="00ED419E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Teksttreci2TimesNewRoman">
    <w:name w:val="Tekst treści (2) + Times New Roman"/>
    <w:aliases w:val="10 pt"/>
    <w:basedOn w:val="Teksttreci2"/>
    <w:uiPriority w:val="99"/>
    <w:rsid w:val="00365BE7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Podpistabeli2">
    <w:name w:val="Podpis tabeli (2)_"/>
    <w:basedOn w:val="Domylnaczcionkaakapitu"/>
    <w:link w:val="Podpistabeli20"/>
    <w:uiPriority w:val="99"/>
    <w:locked/>
    <w:rsid w:val="00365BE7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2TimesNewRoman2">
    <w:name w:val="Tekst treści (2) + Times New Roman2"/>
    <w:basedOn w:val="Teksttreci2"/>
    <w:uiPriority w:val="99"/>
    <w:rsid w:val="00365BE7"/>
    <w:rPr>
      <w:rFonts w:ascii="Times New Roman" w:hAnsi="Times New Roman" w:cs="Times New Roman"/>
      <w:sz w:val="19"/>
      <w:szCs w:val="19"/>
      <w:shd w:val="clear" w:color="auto" w:fill="FFFFFF"/>
    </w:rPr>
  </w:style>
  <w:style w:type="character" w:styleId="Pogrubienie">
    <w:name w:val="Strong"/>
    <w:aliases w:val="Tekst treści (2) + Times New Roman1"/>
    <w:basedOn w:val="Teksttreci2"/>
    <w:uiPriority w:val="99"/>
    <w:qFormat/>
    <w:rsid w:val="00365BE7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uiPriority w:val="99"/>
    <w:rsid w:val="00365BE7"/>
    <w:pPr>
      <w:shd w:val="clear" w:color="auto" w:fill="FFFFFF"/>
      <w:spacing w:after="240" w:line="298" w:lineRule="exact"/>
      <w:ind w:hanging="420"/>
      <w:jc w:val="both"/>
    </w:pPr>
    <w:rPr>
      <w:rFonts w:ascii="Arial" w:hAnsi="Arial" w:cs="Arial"/>
      <w:sz w:val="19"/>
      <w:szCs w:val="19"/>
      <w:lang w:val="pl-PL"/>
    </w:rPr>
  </w:style>
  <w:style w:type="paragraph" w:customStyle="1" w:styleId="Podpistabeli20">
    <w:name w:val="Podpis tabeli (2)"/>
    <w:basedOn w:val="Normalny"/>
    <w:link w:val="Podpistabeli2"/>
    <w:uiPriority w:val="99"/>
    <w:rsid w:val="00365BE7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STT">
    <w:name w:val="ST T"/>
    <w:basedOn w:val="Normalny"/>
    <w:link w:val="STTZnak"/>
    <w:uiPriority w:val="1"/>
    <w:qFormat/>
    <w:rsid w:val="00B03C00"/>
    <w:pPr>
      <w:autoSpaceDE w:val="0"/>
      <w:autoSpaceDN w:val="0"/>
      <w:spacing w:before="60" w:line="280" w:lineRule="atLeast"/>
      <w:contextualSpacing/>
      <w:jc w:val="both"/>
    </w:pPr>
    <w:rPr>
      <w:rFonts w:ascii="Verdana" w:eastAsia="Verdana" w:hAnsi="Verdana" w:cs="Verdana"/>
      <w:color w:val="000000"/>
      <w:sz w:val="18"/>
      <w:szCs w:val="18"/>
      <w:lang w:val="pl-PL"/>
    </w:rPr>
  </w:style>
  <w:style w:type="character" w:customStyle="1" w:styleId="STTZnak">
    <w:name w:val="ST T Znak"/>
    <w:basedOn w:val="Domylnaczcionkaakapitu"/>
    <w:link w:val="STT"/>
    <w:uiPriority w:val="1"/>
    <w:rsid w:val="00B03C00"/>
    <w:rPr>
      <w:rFonts w:ascii="Verdana" w:eastAsia="Verdana" w:hAnsi="Verdana" w:cs="Verdana"/>
      <w:color w:val="000000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0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3C2F-1109-4D12-9D01-8BFEDFF1B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5070</Words>
  <Characters>30424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Waszak, Agata</dc:creator>
  <cp:lastModifiedBy>Karolina Kubica</cp:lastModifiedBy>
  <cp:revision>3</cp:revision>
  <cp:lastPrinted>2021-07-20T05:50:00Z</cp:lastPrinted>
  <dcterms:created xsi:type="dcterms:W3CDTF">2022-01-24T15:43:00Z</dcterms:created>
  <dcterms:modified xsi:type="dcterms:W3CDTF">2022-11-04T10:38:00Z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2021-05-03T09:11:04Z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d238fa98-9788-4165-a834-65bbe2df2708</vt:lpwstr>
  </property>
  <property fmtid="{D5CDD505-2E9C-101B-9397-08002B2CF9AE}" pid="8" name="MSIP_Label_43f08ec5-d6d9-4227-8387-ccbfcb3632c4_ContentBits">
    <vt:lpwstr>0</vt:lpwstr>
  </property>
  <property fmtid="{D5CDD505-2E9C-101B-9397-08002B2CF9AE}" pid="9" name="MSIP_Label_b172001a-5ae3-41cb-841a-d0273f8e6817_Enabled">
    <vt:lpwstr>true</vt:lpwstr>
  </property>
  <property fmtid="{D5CDD505-2E9C-101B-9397-08002B2CF9AE}" pid="10" name="MSIP_Label_b172001a-5ae3-41cb-841a-d0273f8e6817_SetDate">
    <vt:lpwstr>2021-05-10T13:25:32Z</vt:lpwstr>
  </property>
  <property fmtid="{D5CDD505-2E9C-101B-9397-08002B2CF9AE}" pid="11" name="MSIP_Label_b172001a-5ae3-41cb-841a-d0273f8e6817_Method">
    <vt:lpwstr>Standard</vt:lpwstr>
  </property>
  <property fmtid="{D5CDD505-2E9C-101B-9397-08002B2CF9AE}" pid="12" name="MSIP_Label_b172001a-5ae3-41cb-841a-d0273f8e6817_Name">
    <vt:lpwstr>Public</vt:lpwstr>
  </property>
  <property fmtid="{D5CDD505-2E9C-101B-9397-08002B2CF9AE}" pid="13" name="MSIP_Label_b172001a-5ae3-41cb-841a-d0273f8e6817_SiteId">
    <vt:lpwstr>a43e0431-0a33-47e7-8758-14aa0084faef</vt:lpwstr>
  </property>
  <property fmtid="{D5CDD505-2E9C-101B-9397-08002B2CF9AE}" pid="14" name="MSIP_Label_b172001a-5ae3-41cb-841a-d0273f8e6817_ActionId">
    <vt:lpwstr>80f38466-80ef-4a19-a814-a51626b7cf77</vt:lpwstr>
  </property>
  <property fmtid="{D5CDD505-2E9C-101B-9397-08002B2CF9AE}" pid="15" name="MSIP_Label_b172001a-5ae3-41cb-841a-d0273f8e6817_ContentBits">
    <vt:lpwstr>0</vt:lpwstr>
  </property>
</Properties>
</file>