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4C24" w:rsidRPr="00770D48" w:rsidRDefault="00924C24" w:rsidP="00B1225E">
      <w:pPr>
        <w:ind w:right="208"/>
        <w:jc w:val="both"/>
        <w:rPr>
          <w:rFonts w:ascii="Times New Roman" w:hAnsi="Times New Roman"/>
          <w:sz w:val="24"/>
          <w:szCs w:val="24"/>
          <w:lang w:val="pl-PL"/>
        </w:rPr>
      </w:pPr>
    </w:p>
    <w:p w:rsidR="00924C24" w:rsidRPr="00770D48" w:rsidRDefault="00924C24" w:rsidP="00B1225E">
      <w:pPr>
        <w:ind w:right="208"/>
        <w:jc w:val="both"/>
        <w:rPr>
          <w:rFonts w:ascii="Times New Roman" w:hAnsi="Times New Roman"/>
          <w:sz w:val="24"/>
          <w:szCs w:val="24"/>
          <w:lang w:val="pl-PL"/>
        </w:rPr>
      </w:pPr>
    </w:p>
    <w:p w:rsidR="00924C24" w:rsidRPr="00770D48" w:rsidRDefault="00924C24" w:rsidP="00B1225E">
      <w:pPr>
        <w:spacing w:after="168"/>
        <w:ind w:right="208"/>
        <w:jc w:val="both"/>
        <w:rPr>
          <w:rFonts w:ascii="Times New Roman" w:hAnsi="Times New Roman"/>
          <w:sz w:val="24"/>
          <w:szCs w:val="24"/>
          <w:lang w:val="pl-PL"/>
        </w:rPr>
      </w:pPr>
    </w:p>
    <w:p w:rsidR="001C109F" w:rsidRPr="00770D48" w:rsidRDefault="001C109F" w:rsidP="00B1225E">
      <w:pPr>
        <w:spacing w:before="60" w:after="60"/>
        <w:ind w:right="208"/>
        <w:jc w:val="center"/>
        <w:rPr>
          <w:rFonts w:ascii="Times New Roman" w:hAnsi="Times New Roman" w:cs="Times New Roman"/>
          <w:color w:val="010302"/>
          <w:sz w:val="18"/>
          <w:szCs w:val="18"/>
          <w:lang w:val="pl-PL"/>
        </w:rPr>
      </w:pPr>
      <w:r w:rsidRPr="00770D48">
        <w:rPr>
          <w:rFonts w:ascii="Verdana" w:hAnsi="Verdana" w:cs="Verdana"/>
          <w:color w:val="000000"/>
          <w:sz w:val="18"/>
          <w:szCs w:val="18"/>
          <w:lang w:val="pl-PL"/>
        </w:rPr>
        <w:t>SPECYFIKACJA TECHNICZNA  WYKONAN</w:t>
      </w:r>
      <w:r w:rsidRPr="00770D48">
        <w:rPr>
          <w:rFonts w:ascii="Verdana" w:hAnsi="Verdana" w:cs="Verdana"/>
          <w:color w:val="000000"/>
          <w:spacing w:val="-2"/>
          <w:sz w:val="18"/>
          <w:szCs w:val="18"/>
          <w:lang w:val="pl-PL"/>
        </w:rPr>
        <w:t>I</w:t>
      </w:r>
      <w:r w:rsidRPr="00770D48">
        <w:rPr>
          <w:rFonts w:ascii="Verdana" w:hAnsi="Verdana" w:cs="Verdana"/>
          <w:color w:val="000000"/>
          <w:sz w:val="18"/>
          <w:szCs w:val="18"/>
          <w:lang w:val="pl-PL"/>
        </w:rPr>
        <w:t xml:space="preserve">A </w:t>
      </w:r>
      <w:r w:rsidRPr="00770D48">
        <w:rPr>
          <w:rFonts w:ascii="Verdana" w:hAnsi="Verdana" w:cs="Verdana"/>
          <w:color w:val="000000"/>
          <w:spacing w:val="-2"/>
          <w:sz w:val="18"/>
          <w:szCs w:val="18"/>
          <w:lang w:val="pl-PL"/>
        </w:rPr>
        <w:t>I</w:t>
      </w:r>
      <w:r w:rsidRPr="00770D48">
        <w:rPr>
          <w:rFonts w:ascii="Verdana" w:hAnsi="Verdana" w:cs="Verdana"/>
          <w:color w:val="000000"/>
          <w:sz w:val="18"/>
          <w:szCs w:val="18"/>
          <w:lang w:val="pl-PL"/>
        </w:rPr>
        <w:t xml:space="preserve"> ODBIORU ROBÓT BUDOWLANYCH</w:t>
      </w:r>
    </w:p>
    <w:p w:rsidR="001C109F" w:rsidRPr="00770D48" w:rsidRDefault="001C109F" w:rsidP="00B1225E">
      <w:pPr>
        <w:spacing w:before="60" w:after="60"/>
        <w:ind w:right="208"/>
        <w:rPr>
          <w:rFonts w:ascii="Times New Roman" w:hAnsi="Times New Roman"/>
          <w:color w:val="000000" w:themeColor="text1"/>
          <w:sz w:val="18"/>
          <w:szCs w:val="18"/>
          <w:lang w:val="pl-PL"/>
        </w:rPr>
      </w:pPr>
    </w:p>
    <w:p w:rsidR="001C109F" w:rsidRPr="00770D48" w:rsidRDefault="001C109F" w:rsidP="00B1225E">
      <w:pPr>
        <w:spacing w:before="60" w:after="60"/>
        <w:ind w:right="208"/>
        <w:rPr>
          <w:rFonts w:ascii="Times New Roman" w:hAnsi="Times New Roman"/>
          <w:color w:val="000000" w:themeColor="text1"/>
          <w:sz w:val="18"/>
          <w:szCs w:val="18"/>
          <w:lang w:val="pl-PL"/>
        </w:rPr>
      </w:pPr>
    </w:p>
    <w:p w:rsidR="001C109F" w:rsidRPr="00770D48" w:rsidRDefault="001C109F" w:rsidP="00B1225E">
      <w:pPr>
        <w:spacing w:before="60" w:after="60"/>
        <w:ind w:right="208"/>
        <w:rPr>
          <w:rFonts w:ascii="Times New Roman" w:hAnsi="Times New Roman"/>
          <w:color w:val="000000" w:themeColor="text1"/>
          <w:sz w:val="18"/>
          <w:szCs w:val="18"/>
          <w:lang w:val="pl-PL"/>
        </w:rPr>
      </w:pPr>
    </w:p>
    <w:p w:rsidR="001C109F" w:rsidRPr="00770D48" w:rsidRDefault="001C109F" w:rsidP="00B1225E">
      <w:pPr>
        <w:spacing w:before="60" w:after="60"/>
        <w:ind w:right="208"/>
        <w:jc w:val="center"/>
        <w:rPr>
          <w:rFonts w:ascii="Verdana-Bold" w:hAnsi="Verdana-Bold" w:cs="Verdana-Bold"/>
          <w:b/>
          <w:bCs/>
          <w:color w:val="000000"/>
          <w:sz w:val="18"/>
          <w:szCs w:val="18"/>
          <w:lang w:val="pl-PL"/>
        </w:rPr>
      </w:pPr>
      <w:r w:rsidRPr="00770D48">
        <w:rPr>
          <w:rFonts w:ascii="Verdana-Bold" w:hAnsi="Verdana-Bold" w:cs="Verdana-Bold"/>
          <w:b/>
          <w:bCs/>
          <w:color w:val="000000"/>
          <w:sz w:val="18"/>
          <w:szCs w:val="18"/>
          <w:lang w:val="pl-PL"/>
        </w:rPr>
        <w:t>D-</w:t>
      </w:r>
      <w:r w:rsidR="00C21218" w:rsidRPr="00770D48">
        <w:rPr>
          <w:rFonts w:ascii="Verdana-Bold" w:hAnsi="Verdana-Bold" w:cs="Verdana-Bold"/>
          <w:b/>
          <w:bCs/>
          <w:color w:val="000000"/>
          <w:sz w:val="18"/>
          <w:szCs w:val="18"/>
          <w:lang w:val="pl-PL"/>
        </w:rPr>
        <w:t>07.0</w:t>
      </w:r>
      <w:r w:rsidR="00B1225E">
        <w:rPr>
          <w:rFonts w:ascii="Verdana-Bold" w:hAnsi="Verdana-Bold" w:cs="Verdana-Bold"/>
          <w:b/>
          <w:bCs/>
          <w:color w:val="000000"/>
          <w:sz w:val="18"/>
          <w:szCs w:val="18"/>
          <w:lang w:val="pl-PL"/>
        </w:rPr>
        <w:t>5</w:t>
      </w:r>
      <w:r w:rsidRPr="00770D48">
        <w:rPr>
          <w:rFonts w:ascii="Verdana-Bold" w:hAnsi="Verdana-Bold" w:cs="Verdana-Bold"/>
          <w:b/>
          <w:bCs/>
          <w:color w:val="000000"/>
          <w:sz w:val="18"/>
          <w:szCs w:val="18"/>
          <w:lang w:val="pl-PL"/>
        </w:rPr>
        <w:t>.01</w:t>
      </w:r>
    </w:p>
    <w:p w:rsidR="001C109F" w:rsidRPr="00770D48" w:rsidRDefault="001C109F" w:rsidP="00B1225E">
      <w:pPr>
        <w:spacing w:before="60" w:after="60"/>
        <w:ind w:left="5298" w:right="208" w:hanging="422"/>
        <w:rPr>
          <w:rFonts w:ascii="Arial" w:hAnsi="Arial" w:cs="Arial"/>
          <w:color w:val="010302"/>
          <w:sz w:val="18"/>
          <w:szCs w:val="18"/>
          <w:lang w:val="pl-PL"/>
        </w:rPr>
      </w:pPr>
      <w:r w:rsidRPr="00770D48">
        <w:rPr>
          <w:sz w:val="18"/>
          <w:szCs w:val="18"/>
          <w:lang w:val="pl-PL"/>
        </w:rPr>
        <w:br w:type="textWrapping" w:clear="all"/>
      </w:r>
    </w:p>
    <w:p w:rsidR="001C109F" w:rsidRPr="00770D48" w:rsidRDefault="00B1225E" w:rsidP="00B1225E">
      <w:pPr>
        <w:ind w:right="208"/>
        <w:jc w:val="center"/>
        <w:rPr>
          <w:rFonts w:ascii="Verdana-Bold" w:hAnsi="Verdana-Bold" w:cs="Verdana-Bold"/>
          <w:b/>
          <w:bCs/>
          <w:color w:val="000000"/>
          <w:sz w:val="18"/>
          <w:szCs w:val="18"/>
          <w:lang w:val="pl-PL"/>
        </w:rPr>
      </w:pPr>
      <w:r>
        <w:rPr>
          <w:rFonts w:ascii="Verdana-Bold" w:hAnsi="Verdana-Bold" w:cs="Verdana-Bold"/>
          <w:b/>
          <w:bCs/>
          <w:color w:val="000000"/>
          <w:sz w:val="18"/>
          <w:szCs w:val="18"/>
          <w:lang w:val="pl-PL"/>
        </w:rPr>
        <w:t>BARIERY OCHRONNE METALOWE</w:t>
      </w:r>
    </w:p>
    <w:p w:rsidR="001C109F" w:rsidRPr="00770D48" w:rsidRDefault="001C109F" w:rsidP="00B1225E">
      <w:pPr>
        <w:ind w:left="3121" w:right="208"/>
        <w:jc w:val="both"/>
        <w:rPr>
          <w:rFonts w:ascii="Verdana-Bold" w:hAnsi="Verdana-Bold" w:cs="Verdana-Bold"/>
          <w:b/>
          <w:bCs/>
          <w:color w:val="000000"/>
          <w:sz w:val="18"/>
          <w:szCs w:val="18"/>
          <w:lang w:val="pl-PL"/>
        </w:rPr>
      </w:pPr>
    </w:p>
    <w:p w:rsidR="001C109F" w:rsidRPr="00770D48" w:rsidRDefault="001C109F" w:rsidP="00B1225E">
      <w:pPr>
        <w:ind w:left="3121" w:right="208"/>
        <w:jc w:val="both"/>
        <w:rPr>
          <w:lang w:val="pl-PL"/>
        </w:rPr>
      </w:pPr>
    </w:p>
    <w:p w:rsidR="001C109F" w:rsidRPr="00770D48" w:rsidRDefault="001C109F" w:rsidP="00B1225E">
      <w:pPr>
        <w:ind w:right="208"/>
        <w:rPr>
          <w:lang w:val="pl-PL"/>
        </w:rPr>
      </w:pPr>
      <w:r w:rsidRPr="00770D48">
        <w:rPr>
          <w:lang w:val="pl-PL"/>
        </w:rPr>
        <w:br w:type="page"/>
      </w:r>
    </w:p>
    <w:p w:rsidR="00BA1B7A" w:rsidRPr="00B1225E" w:rsidRDefault="00BA1B7A" w:rsidP="00B1225E">
      <w:pPr>
        <w:pStyle w:val="Nagwek1"/>
        <w:keepNext w:val="0"/>
        <w:spacing w:before="240"/>
        <w:ind w:left="1418" w:right="208" w:hanging="567"/>
        <w:jc w:val="both"/>
        <w:rPr>
          <w:rFonts w:ascii="Verdana" w:hAnsi="Verdana"/>
          <w:color w:val="auto"/>
          <w:sz w:val="18"/>
          <w:szCs w:val="18"/>
          <w:lang w:val="pl-PL"/>
        </w:rPr>
      </w:pPr>
      <w:bookmarkStart w:id="0" w:name="_Toc74807315"/>
      <w:r w:rsidRPr="00B1225E">
        <w:rPr>
          <w:rFonts w:ascii="Verdana" w:hAnsi="Verdana"/>
          <w:color w:val="auto"/>
          <w:sz w:val="18"/>
          <w:szCs w:val="18"/>
          <w:lang w:val="pl-PL"/>
        </w:rPr>
        <w:lastRenderedPageBreak/>
        <w:t>Wstęp</w:t>
      </w:r>
      <w:bookmarkEnd w:id="0"/>
    </w:p>
    <w:p w:rsidR="00BA1B7A" w:rsidRPr="00B1225E" w:rsidRDefault="00BA1B7A" w:rsidP="00B1225E">
      <w:pPr>
        <w:pStyle w:val="Nagwek2"/>
        <w:keepNext w:val="0"/>
        <w:ind w:left="1418" w:right="208" w:hanging="567"/>
        <w:jc w:val="both"/>
        <w:rPr>
          <w:lang w:val="pl-PL"/>
        </w:rPr>
      </w:pPr>
      <w:bookmarkStart w:id="1" w:name="_Toc74807316"/>
      <w:r w:rsidRPr="00B1225E">
        <w:rPr>
          <w:lang w:val="pl-PL"/>
        </w:rPr>
        <w:t>Nazwa zadania</w:t>
      </w:r>
      <w:bookmarkEnd w:id="1"/>
    </w:p>
    <w:p w:rsidR="00905A55" w:rsidRPr="00B16471" w:rsidRDefault="00B16471" w:rsidP="00B16471">
      <w:pPr>
        <w:pStyle w:val="Nagwek2"/>
        <w:numPr>
          <w:ilvl w:val="0"/>
          <w:numId w:val="0"/>
        </w:numPr>
        <w:spacing w:before="60" w:line="280" w:lineRule="atLeast"/>
        <w:ind w:left="851"/>
        <w:rPr>
          <w:rFonts w:eastAsiaTheme="minorHAnsi" w:cs="Verdana"/>
          <w:b w:val="0"/>
          <w:szCs w:val="18"/>
          <w:lang w:val="pl-PL"/>
        </w:rPr>
      </w:pPr>
      <w:bookmarkStart w:id="2" w:name="_Toc74807317"/>
      <w:r w:rsidRPr="00B16471">
        <w:rPr>
          <w:rFonts w:eastAsiaTheme="minorHAnsi" w:cs="Verdana"/>
          <w:b w:val="0"/>
          <w:szCs w:val="18"/>
          <w:lang w:val="pl-PL"/>
        </w:rPr>
        <w:t xml:space="preserve">„Budowa skrzyżowania bezkolizyjnego drogi powiatowej 1181K Pogwizdów – Tunel z linią kolejową LHS nr 65 w m. Uniejów Rędziny wraz z przebudową dojazdów w zamian za likwidację przejazdu kolejowo – drogowego kat. D w km 337,244 </w:t>
      </w:r>
      <w:proofErr w:type="spellStart"/>
      <w:r w:rsidRPr="00B16471">
        <w:rPr>
          <w:rFonts w:eastAsiaTheme="minorHAnsi" w:cs="Verdana"/>
          <w:b w:val="0"/>
          <w:szCs w:val="18"/>
          <w:lang w:val="pl-PL"/>
        </w:rPr>
        <w:t>linii</w:t>
      </w:r>
      <w:proofErr w:type="spellEnd"/>
      <w:r w:rsidRPr="00B16471">
        <w:rPr>
          <w:rFonts w:eastAsiaTheme="minorHAnsi" w:cs="Verdana"/>
          <w:b w:val="0"/>
          <w:szCs w:val="18"/>
          <w:lang w:val="pl-PL"/>
        </w:rPr>
        <w:t xml:space="preserve"> </w:t>
      </w:r>
      <w:proofErr w:type="spellStart"/>
      <w:r w:rsidRPr="00B16471">
        <w:rPr>
          <w:rFonts w:eastAsiaTheme="minorHAnsi" w:cs="Verdana"/>
          <w:b w:val="0"/>
          <w:szCs w:val="18"/>
          <w:lang w:val="pl-PL"/>
        </w:rPr>
        <w:t>kolejowej</w:t>
      </w:r>
      <w:proofErr w:type="spellEnd"/>
      <w:r w:rsidRPr="00B16471">
        <w:rPr>
          <w:rFonts w:eastAsiaTheme="minorHAnsi" w:cs="Verdana"/>
          <w:b w:val="0"/>
          <w:szCs w:val="18"/>
          <w:lang w:val="pl-PL"/>
        </w:rPr>
        <w:t xml:space="preserve"> LHS </w:t>
      </w:r>
      <w:proofErr w:type="spellStart"/>
      <w:r w:rsidRPr="00B16471">
        <w:rPr>
          <w:rFonts w:eastAsiaTheme="minorHAnsi" w:cs="Verdana"/>
          <w:b w:val="0"/>
          <w:szCs w:val="18"/>
          <w:lang w:val="pl-PL"/>
        </w:rPr>
        <w:t>nr</w:t>
      </w:r>
      <w:proofErr w:type="spellEnd"/>
      <w:r w:rsidRPr="00B16471">
        <w:rPr>
          <w:rFonts w:eastAsiaTheme="minorHAnsi" w:cs="Verdana"/>
          <w:b w:val="0"/>
          <w:szCs w:val="18"/>
          <w:lang w:val="pl-PL"/>
        </w:rPr>
        <w:t xml:space="preserve"> 65”.</w:t>
      </w:r>
    </w:p>
    <w:p w:rsidR="00B1225E" w:rsidRDefault="00B1225E" w:rsidP="00B1225E">
      <w:pPr>
        <w:pStyle w:val="Nagwek2"/>
        <w:keepNext w:val="0"/>
        <w:ind w:left="1418" w:right="208" w:hanging="567"/>
        <w:jc w:val="both"/>
        <w:rPr>
          <w:lang w:val="pl-PL"/>
        </w:rPr>
      </w:pPr>
      <w:r w:rsidRPr="00B1225E">
        <w:rPr>
          <w:lang w:val="pl-PL"/>
        </w:rPr>
        <w:t>Przedmiot STWiORB</w:t>
      </w:r>
      <w:bookmarkEnd w:id="2"/>
    </w:p>
    <w:p w:rsidR="00B1225E" w:rsidRPr="00B1225E" w:rsidRDefault="00B1225E" w:rsidP="00B1225E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B1225E">
        <w:rPr>
          <w:rFonts w:ascii="Verdana" w:hAnsi="Verdana" w:cs="Verdana"/>
          <w:sz w:val="18"/>
          <w:szCs w:val="18"/>
          <w:lang w:val="pl-PL"/>
        </w:rPr>
        <w:t>Przedmiotem niniejszej Szczegółowej Specyfikacji Technicznej Wykonania i Odbioru Robót Budowlanych są wymagania dotyczące wykonania i odbioru Robót budowlanych w ramach realizacji zadania zgodnie z pkt 1.1.</w:t>
      </w:r>
    </w:p>
    <w:p w:rsidR="00B1225E" w:rsidRPr="00B1225E" w:rsidRDefault="00B1225E" w:rsidP="00B1225E">
      <w:pPr>
        <w:pStyle w:val="Nagwek2"/>
        <w:keepNext w:val="0"/>
        <w:ind w:left="1418" w:right="208" w:hanging="567"/>
        <w:jc w:val="both"/>
        <w:rPr>
          <w:lang w:val="pl-PL"/>
        </w:rPr>
      </w:pPr>
      <w:bookmarkStart w:id="3" w:name="_Toc74807318"/>
      <w:r w:rsidRPr="00B1225E">
        <w:rPr>
          <w:lang w:val="pl-PL"/>
        </w:rPr>
        <w:t>Zakres Robót objętych STWiORB</w:t>
      </w:r>
      <w:bookmarkEnd w:id="3"/>
    </w:p>
    <w:p w:rsidR="00B1225E" w:rsidRPr="00B1225E" w:rsidRDefault="00B1225E" w:rsidP="00B1225E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B1225E">
        <w:rPr>
          <w:rFonts w:ascii="Verdana" w:hAnsi="Verdana" w:cs="Verdana"/>
          <w:sz w:val="18"/>
          <w:szCs w:val="18"/>
          <w:lang w:val="pl-PL"/>
        </w:rPr>
        <w:t>STWiORB jest stosowana jako Dokument Kontraktowy przy realizacji robót związanych z wykonaniem i odbiorem drogowych barier metalowych.</w:t>
      </w:r>
    </w:p>
    <w:p w:rsidR="00E1772B" w:rsidRPr="00B1225E" w:rsidRDefault="00E1772B" w:rsidP="00B1225E">
      <w:pPr>
        <w:pStyle w:val="Nagwek2"/>
        <w:keepNext w:val="0"/>
        <w:ind w:left="1418" w:right="208" w:hanging="567"/>
        <w:jc w:val="both"/>
        <w:rPr>
          <w:lang w:val="pl-PL"/>
        </w:rPr>
      </w:pPr>
      <w:bookmarkStart w:id="4" w:name="_Toc74807320"/>
      <w:r w:rsidRPr="00B1225E">
        <w:rPr>
          <w:lang w:val="pl-PL"/>
        </w:rPr>
        <w:t>Określenia podstawowe</w:t>
      </w:r>
      <w:bookmarkEnd w:id="4"/>
    </w:p>
    <w:p w:rsidR="006372EF" w:rsidRPr="00B1225E" w:rsidRDefault="00B1225E" w:rsidP="00B1225E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B1225E">
        <w:rPr>
          <w:rFonts w:ascii="Verdana" w:hAnsi="Verdana" w:cs="Verdana"/>
          <w:b/>
          <w:bCs/>
          <w:sz w:val="18"/>
          <w:szCs w:val="18"/>
          <w:lang w:val="pl-PL"/>
        </w:rPr>
        <w:t>Bariera ochronna</w:t>
      </w:r>
      <w:r w:rsidRPr="00B1225E">
        <w:rPr>
          <w:rFonts w:ascii="Verdana" w:hAnsi="Verdana" w:cs="Verdana"/>
          <w:sz w:val="18"/>
          <w:szCs w:val="18"/>
          <w:lang w:val="pl-PL"/>
        </w:rPr>
        <w:t xml:space="preserve"> – urządzenie bezpieczeństwa ruchu drogowego, stosowane w celu fizycznego zapobieżenia zjechaniu pojazdu z drogi w miejscach, gdzie to jest niebezpieczne, wyjechaniu pojazdu poza koronę drogi, przejechaniu pojazdu na jezdnię przeznaczoną dla przeciwnego kierunku ruchu lub niedopuszczenia do powstania kolizji pojazdu z obiektami lub przeszkodami stałymi znajdującymi się w pobliżu jezdni.</w:t>
      </w:r>
    </w:p>
    <w:p w:rsidR="00B1225E" w:rsidRPr="00B1225E" w:rsidRDefault="00B1225E" w:rsidP="00B1225E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B1225E">
        <w:rPr>
          <w:rFonts w:ascii="Verdana" w:hAnsi="Verdana" w:cs="Verdana"/>
          <w:b/>
          <w:bCs/>
          <w:sz w:val="18"/>
          <w:szCs w:val="18"/>
          <w:lang w:val="pl-PL"/>
        </w:rPr>
        <w:t>Bariera skrajna</w:t>
      </w:r>
      <w:r w:rsidRPr="00B1225E">
        <w:rPr>
          <w:rFonts w:ascii="Verdana" w:hAnsi="Verdana" w:cs="Verdana"/>
          <w:sz w:val="18"/>
          <w:szCs w:val="18"/>
          <w:lang w:val="pl-PL"/>
        </w:rPr>
        <w:t xml:space="preserve"> – bariera ochronna umieszczona przy krawędzi jezdni, korony drogi lub drogowego obiektu inżynierskiego, przeciwdziałająca niebezpiecznym następstwom zjechania z drogi lub je ograniczająca.</w:t>
      </w:r>
    </w:p>
    <w:p w:rsidR="00B1225E" w:rsidRPr="00B1225E" w:rsidRDefault="00B1225E" w:rsidP="00B1225E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B1225E">
        <w:rPr>
          <w:rFonts w:ascii="Verdana" w:hAnsi="Verdana" w:cs="Verdana"/>
          <w:b/>
          <w:bCs/>
          <w:sz w:val="18"/>
          <w:szCs w:val="18"/>
          <w:lang w:val="pl-PL"/>
        </w:rPr>
        <w:t>Bariera dzieląca</w:t>
      </w:r>
      <w:r w:rsidRPr="00B1225E">
        <w:rPr>
          <w:rFonts w:ascii="Verdana" w:hAnsi="Verdana" w:cs="Verdana"/>
          <w:sz w:val="18"/>
          <w:szCs w:val="18"/>
          <w:lang w:val="pl-PL"/>
        </w:rPr>
        <w:t xml:space="preserve"> – bariera ochronna umieszczona na pasie dzielącym drogi dwujezdniowej lub bocznym pasie dzielącym, przeciwdziałająca przejechaniu pojazdu na drugą jezdnię.</w:t>
      </w:r>
    </w:p>
    <w:p w:rsidR="00B1225E" w:rsidRPr="00B1225E" w:rsidRDefault="00B1225E" w:rsidP="00B1225E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B1225E">
        <w:rPr>
          <w:rFonts w:ascii="Verdana" w:hAnsi="Verdana" w:cs="Verdana"/>
          <w:b/>
          <w:bCs/>
          <w:sz w:val="18"/>
          <w:szCs w:val="18"/>
          <w:lang w:val="pl-PL"/>
        </w:rPr>
        <w:t>Bariera osłonowa</w:t>
      </w:r>
      <w:r w:rsidRPr="00B1225E">
        <w:rPr>
          <w:rFonts w:ascii="Verdana" w:hAnsi="Verdana" w:cs="Verdana"/>
          <w:sz w:val="18"/>
          <w:szCs w:val="18"/>
          <w:lang w:val="pl-PL"/>
        </w:rPr>
        <w:t xml:space="preserve"> – bariera ochronna umieszczona między jezdnia a obiektami lub przeszkodami stałymi znajdującymi się w pobliżu jezdni.</w:t>
      </w:r>
    </w:p>
    <w:p w:rsidR="00E1772B" w:rsidRPr="00B1225E" w:rsidRDefault="00E1772B" w:rsidP="00B1225E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B1225E">
        <w:rPr>
          <w:rFonts w:ascii="Verdana" w:hAnsi="Verdana" w:cs="Verdana"/>
          <w:sz w:val="18"/>
          <w:szCs w:val="18"/>
          <w:lang w:val="pl-PL"/>
        </w:rPr>
        <w:t xml:space="preserve">Pozostałe określenia podstawowe są zgodne z obowiązującymi </w:t>
      </w:r>
      <w:r w:rsidR="008375DE" w:rsidRPr="00B1225E">
        <w:rPr>
          <w:rFonts w:ascii="Verdana" w:hAnsi="Verdana" w:cs="Verdana"/>
          <w:sz w:val="18"/>
          <w:szCs w:val="18"/>
          <w:lang w:val="pl-PL"/>
        </w:rPr>
        <w:t>aktami prawnymi i z </w:t>
      </w:r>
      <w:r w:rsidRPr="00B1225E">
        <w:rPr>
          <w:rFonts w:ascii="Verdana" w:hAnsi="Verdana" w:cs="Verdana"/>
          <w:sz w:val="18"/>
          <w:szCs w:val="18"/>
          <w:lang w:val="pl-PL"/>
        </w:rPr>
        <w:t>defini</w:t>
      </w:r>
      <w:r w:rsidRPr="00B1225E">
        <w:rPr>
          <w:rFonts w:ascii="Verdana" w:hAnsi="Verdana" w:cs="Verdana"/>
          <w:sz w:val="18"/>
          <w:szCs w:val="18"/>
          <w:lang w:val="pl-PL"/>
        </w:rPr>
        <w:softHyphen/>
        <w:t>cjami podanymi w STWiORB DM 00.00.00 „Wymagania ogólne".</w:t>
      </w:r>
    </w:p>
    <w:p w:rsidR="00E1772B" w:rsidRPr="00B1225E" w:rsidRDefault="00E1772B" w:rsidP="00B1225E">
      <w:pPr>
        <w:pStyle w:val="Nagwek1"/>
        <w:keepNext w:val="0"/>
        <w:spacing w:before="240"/>
        <w:ind w:left="1418" w:right="208" w:hanging="567"/>
        <w:jc w:val="both"/>
        <w:rPr>
          <w:rFonts w:ascii="Verdana" w:hAnsi="Verdana"/>
          <w:color w:val="auto"/>
          <w:sz w:val="18"/>
          <w:szCs w:val="18"/>
          <w:lang w:val="pl-PL"/>
        </w:rPr>
      </w:pPr>
      <w:bookmarkStart w:id="5" w:name="_Toc74807321"/>
      <w:r w:rsidRPr="00B1225E">
        <w:rPr>
          <w:rFonts w:ascii="Verdana" w:hAnsi="Verdana"/>
          <w:color w:val="auto"/>
          <w:sz w:val="18"/>
          <w:szCs w:val="18"/>
          <w:lang w:val="pl-PL"/>
        </w:rPr>
        <w:t>Materiały</w:t>
      </w:r>
      <w:bookmarkEnd w:id="5"/>
    </w:p>
    <w:p w:rsidR="00B1225E" w:rsidRPr="00B1225E" w:rsidRDefault="00B1225E" w:rsidP="00B1225E">
      <w:pPr>
        <w:pStyle w:val="Nagwek2"/>
        <w:keepNext w:val="0"/>
        <w:ind w:left="1418" w:right="208" w:hanging="567"/>
        <w:jc w:val="both"/>
        <w:rPr>
          <w:lang w:val="pl-PL"/>
        </w:rPr>
      </w:pPr>
      <w:bookmarkStart w:id="6" w:name="_Toc74807322"/>
      <w:r w:rsidRPr="00B1225E">
        <w:rPr>
          <w:lang w:val="pl-PL"/>
        </w:rPr>
        <w:t>Ogólne wymagania dotyczące materiałów</w:t>
      </w:r>
      <w:bookmarkEnd w:id="6"/>
    </w:p>
    <w:p w:rsidR="00B1225E" w:rsidRDefault="004E18D1" w:rsidP="004E18D1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>
        <w:rPr>
          <w:rFonts w:ascii="Verdana" w:hAnsi="Verdana" w:cs="Verdana"/>
          <w:sz w:val="18"/>
          <w:szCs w:val="18"/>
          <w:lang w:val="pl-PL"/>
        </w:rPr>
        <w:t xml:space="preserve">Ogólne wymagania dotyczące materiałów, ich pozyskiwania i składowania podano w STWiORB </w:t>
      </w:r>
      <w:bookmarkStart w:id="7" w:name="_GoBack"/>
      <w:bookmarkEnd w:id="7"/>
      <w:r>
        <w:rPr>
          <w:rFonts w:ascii="Verdana" w:hAnsi="Verdana" w:cs="Verdana"/>
          <w:sz w:val="18"/>
          <w:szCs w:val="18"/>
          <w:lang w:val="pl-PL"/>
        </w:rPr>
        <w:t>DM 00.00.00 „Wymagania ogólne”.</w:t>
      </w:r>
    </w:p>
    <w:p w:rsidR="004E18D1" w:rsidRPr="004E18D1" w:rsidRDefault="004E18D1" w:rsidP="004E18D1">
      <w:pPr>
        <w:pStyle w:val="Nagwek2"/>
        <w:keepNext w:val="0"/>
        <w:ind w:left="1418" w:right="208" w:hanging="567"/>
        <w:jc w:val="both"/>
        <w:rPr>
          <w:lang w:val="pl-PL"/>
        </w:rPr>
      </w:pPr>
      <w:bookmarkStart w:id="8" w:name="_Toc74807323"/>
      <w:r w:rsidRPr="004E18D1">
        <w:rPr>
          <w:lang w:val="pl-PL"/>
        </w:rPr>
        <w:t>Bariery metalowe</w:t>
      </w:r>
      <w:bookmarkEnd w:id="8"/>
    </w:p>
    <w:p w:rsidR="004E18D1" w:rsidRDefault="004E18D1" w:rsidP="004E18D1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>
        <w:rPr>
          <w:rFonts w:ascii="Verdana" w:hAnsi="Verdana" w:cs="Verdana"/>
          <w:sz w:val="18"/>
          <w:szCs w:val="18"/>
          <w:lang w:val="pl-PL"/>
        </w:rPr>
        <w:t>Metalowe bariery ochronne dostarczone na budowę muszą spełniać wymagania normy PN-EN 1317, posiadać znak CE lub znak budowlany oraz mieć deklarację właściwości użytkowych producenta oraz powinny posiadać parametry określone w Załączniku do Zarządzenia NR 31 Generalnego Dyrektora Dróg Krajowych i Autostrad z dn. 23.04.2010r. – „Wytyczne stosowania drogowych barier ochronnych na drogach krajowych”. Producent musi udokumentować odpowiednimi sprawozdaniami badania zderzeniowe.</w:t>
      </w:r>
    </w:p>
    <w:p w:rsidR="004E18D1" w:rsidRDefault="004E18D1" w:rsidP="004E18D1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>
        <w:rPr>
          <w:rFonts w:ascii="Verdana" w:hAnsi="Verdana" w:cs="Verdana"/>
          <w:sz w:val="18"/>
          <w:szCs w:val="18"/>
          <w:lang w:val="pl-PL"/>
        </w:rPr>
        <w:t>Aby bariera mogła zostać oznaczona znakiem CE zgodnie z normą należy przeprowadzić próby zderzeniowe oraz określić podstawowe parametry funkcjonalne zdefiniowane w tej normie, tj.:</w:t>
      </w:r>
    </w:p>
    <w:p w:rsidR="004E18D1" w:rsidRPr="004E18D1" w:rsidRDefault="004E18D1" w:rsidP="004E18D1">
      <w:pPr>
        <w:pStyle w:val="Akapitzlist"/>
        <w:numPr>
          <w:ilvl w:val="0"/>
          <w:numId w:val="20"/>
        </w:numPr>
        <w:spacing w:before="60" w:after="60" w:line="276" w:lineRule="auto"/>
        <w:ind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4E18D1">
        <w:rPr>
          <w:rFonts w:ascii="Verdana" w:hAnsi="Verdana" w:cs="Verdana"/>
          <w:sz w:val="18"/>
          <w:szCs w:val="18"/>
          <w:lang w:val="pl-PL"/>
        </w:rPr>
        <w:t>poziom powstrzymywania,</w:t>
      </w:r>
    </w:p>
    <w:p w:rsidR="004E18D1" w:rsidRPr="004E18D1" w:rsidRDefault="004E18D1" w:rsidP="004E18D1">
      <w:pPr>
        <w:pStyle w:val="Akapitzlist"/>
        <w:numPr>
          <w:ilvl w:val="0"/>
          <w:numId w:val="20"/>
        </w:numPr>
        <w:spacing w:before="60" w:after="60" w:line="276" w:lineRule="auto"/>
        <w:ind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4E18D1">
        <w:rPr>
          <w:rFonts w:ascii="Verdana" w:hAnsi="Verdana" w:cs="Verdana"/>
          <w:sz w:val="18"/>
          <w:szCs w:val="18"/>
          <w:lang w:val="pl-PL"/>
        </w:rPr>
        <w:t>szerokość pracujące,</w:t>
      </w:r>
    </w:p>
    <w:p w:rsidR="004E18D1" w:rsidRPr="004E18D1" w:rsidRDefault="004E18D1" w:rsidP="004E18D1">
      <w:pPr>
        <w:pStyle w:val="Akapitzlist"/>
        <w:numPr>
          <w:ilvl w:val="0"/>
          <w:numId w:val="20"/>
        </w:numPr>
        <w:spacing w:before="60" w:after="60" w:line="276" w:lineRule="auto"/>
        <w:ind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4E18D1">
        <w:rPr>
          <w:rFonts w:ascii="Verdana" w:hAnsi="Verdana" w:cs="Verdana"/>
          <w:sz w:val="18"/>
          <w:szCs w:val="18"/>
          <w:lang w:val="pl-PL"/>
        </w:rPr>
        <w:t>wskaźnik intensywności zderzenia.</w:t>
      </w:r>
    </w:p>
    <w:p w:rsidR="004E18D1" w:rsidRDefault="004E18D1" w:rsidP="004E18D1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>
        <w:rPr>
          <w:rFonts w:ascii="Verdana" w:hAnsi="Verdana" w:cs="Verdana"/>
          <w:sz w:val="18"/>
          <w:szCs w:val="18"/>
          <w:lang w:val="pl-PL"/>
        </w:rPr>
        <w:t>W elementach barier należy przewidzieć miejsca do zamontowania punktowych elementów odblaskowych oraz miejsc montażu słupków kilometrowych i hektometrowych.</w:t>
      </w:r>
    </w:p>
    <w:p w:rsidR="004E18D1" w:rsidRDefault="004E18D1" w:rsidP="004E18D1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>
        <w:rPr>
          <w:rFonts w:ascii="Verdana" w:hAnsi="Verdana" w:cs="Verdana"/>
          <w:sz w:val="18"/>
          <w:szCs w:val="18"/>
          <w:lang w:val="pl-PL"/>
        </w:rPr>
        <w:t>W miejscach przejazdów/wjazdów awaryjnych należy zastosować bariery szybko i łatwo rozbieralne.</w:t>
      </w:r>
    </w:p>
    <w:p w:rsidR="00BD4987" w:rsidRDefault="00BD4987" w:rsidP="00BD4987">
      <w:pPr>
        <w:pStyle w:val="Nagwek2"/>
        <w:keepNext w:val="0"/>
        <w:ind w:left="1418" w:right="208" w:hanging="567"/>
        <w:jc w:val="both"/>
        <w:rPr>
          <w:lang w:val="pl-PL"/>
        </w:rPr>
      </w:pPr>
      <w:bookmarkStart w:id="9" w:name="_Toc74807324"/>
      <w:r>
        <w:rPr>
          <w:lang w:val="pl-PL"/>
        </w:rPr>
        <w:t>Zabezpieczenie metalowych elementów bariery przed korozją</w:t>
      </w:r>
      <w:bookmarkEnd w:id="9"/>
    </w:p>
    <w:p w:rsidR="00BD4987" w:rsidRPr="00BD4987" w:rsidRDefault="00BD4987" w:rsidP="00BD4987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BD4987">
        <w:rPr>
          <w:rFonts w:ascii="Verdana" w:hAnsi="Verdana" w:cs="Verdana"/>
          <w:sz w:val="18"/>
          <w:szCs w:val="18"/>
          <w:lang w:val="pl-PL"/>
        </w:rPr>
        <w:t>Sposób zabezpieczenia antykorozyjnego elementów bariery ustala producent w taki sposób, aby zapewnić trwałość powłoki antykorozyjnej przez okres 5 do 10 lat w warunkach normalnych, do co najmniej 3 do 5 lat w środowisku o zwiększonej korozyjności.</w:t>
      </w:r>
    </w:p>
    <w:p w:rsidR="00BD4987" w:rsidRPr="00BD4987" w:rsidRDefault="00BD4987" w:rsidP="00BD4987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BD4987">
        <w:rPr>
          <w:rFonts w:ascii="Verdana" w:hAnsi="Verdana" w:cs="Verdana"/>
          <w:sz w:val="18"/>
          <w:szCs w:val="18"/>
          <w:lang w:val="pl-PL"/>
        </w:rPr>
        <w:t xml:space="preserve">Wszystkie uszkodzenia powłoki powinny zostać naprawione, a naprawy zaakceptowane przez </w:t>
      </w:r>
      <w:r w:rsidRPr="00BD4987">
        <w:rPr>
          <w:rFonts w:ascii="Verdana" w:hAnsi="Verdana" w:cs="Verdana"/>
          <w:sz w:val="18"/>
          <w:szCs w:val="18"/>
          <w:lang w:val="pl-PL"/>
        </w:rPr>
        <w:lastRenderedPageBreak/>
        <w:t>Inżyniera.</w:t>
      </w:r>
    </w:p>
    <w:p w:rsidR="00E1772B" w:rsidRPr="00BD4987" w:rsidRDefault="00E1772B" w:rsidP="00B1225E">
      <w:pPr>
        <w:pStyle w:val="Nagwek1"/>
        <w:keepNext w:val="0"/>
        <w:spacing w:before="240"/>
        <w:ind w:left="1418" w:right="208" w:hanging="567"/>
        <w:jc w:val="both"/>
        <w:rPr>
          <w:rFonts w:ascii="Verdana" w:hAnsi="Verdana"/>
          <w:color w:val="auto"/>
          <w:sz w:val="18"/>
          <w:szCs w:val="18"/>
          <w:lang w:val="pl-PL"/>
        </w:rPr>
      </w:pPr>
      <w:bookmarkStart w:id="10" w:name="bookmark6"/>
      <w:bookmarkStart w:id="11" w:name="_Toc74807325"/>
      <w:r w:rsidRPr="00BD4987">
        <w:rPr>
          <w:rFonts w:ascii="Verdana" w:hAnsi="Verdana"/>
          <w:color w:val="auto"/>
          <w:sz w:val="18"/>
          <w:szCs w:val="18"/>
          <w:lang w:val="pl-PL"/>
        </w:rPr>
        <w:t>Sprzęt</w:t>
      </w:r>
      <w:bookmarkEnd w:id="10"/>
      <w:bookmarkEnd w:id="11"/>
    </w:p>
    <w:p w:rsidR="00BD4987" w:rsidRPr="00BD4987" w:rsidRDefault="00BD4987" w:rsidP="00BD4987">
      <w:pPr>
        <w:pStyle w:val="Nagwek2"/>
        <w:keepNext w:val="0"/>
        <w:ind w:left="1418" w:right="208" w:hanging="567"/>
        <w:jc w:val="both"/>
        <w:rPr>
          <w:lang w:val="pl-PL"/>
        </w:rPr>
      </w:pPr>
      <w:bookmarkStart w:id="12" w:name="_Toc74807326"/>
      <w:r w:rsidRPr="00BD4987">
        <w:rPr>
          <w:lang w:val="pl-PL"/>
        </w:rPr>
        <w:t>Ogólne wymagania dotyczące sprzętu</w:t>
      </w:r>
      <w:bookmarkEnd w:id="12"/>
    </w:p>
    <w:p w:rsidR="00BD4987" w:rsidRPr="00BD4987" w:rsidRDefault="00BD4987" w:rsidP="00BD4987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BD4987">
        <w:rPr>
          <w:rFonts w:ascii="Verdana" w:hAnsi="Verdana" w:cs="Verdana"/>
          <w:sz w:val="18"/>
          <w:szCs w:val="18"/>
          <w:lang w:val="pl-PL"/>
        </w:rPr>
        <w:t>Ogólne wymagania dotyczące sprzętu podano w STWiORB DM 00.00.00 „Wymagania ogólne”.</w:t>
      </w:r>
    </w:p>
    <w:p w:rsidR="00BD4987" w:rsidRPr="00BD4987" w:rsidRDefault="00BD4987" w:rsidP="00BD4987">
      <w:pPr>
        <w:pStyle w:val="Nagwek2"/>
        <w:keepNext w:val="0"/>
        <w:ind w:left="1418" w:right="208" w:hanging="567"/>
        <w:jc w:val="both"/>
        <w:rPr>
          <w:lang w:val="pl-PL"/>
        </w:rPr>
      </w:pPr>
      <w:bookmarkStart w:id="13" w:name="_Toc74807327"/>
      <w:r w:rsidRPr="00BD4987">
        <w:rPr>
          <w:lang w:val="pl-PL"/>
        </w:rPr>
        <w:t>Sprzęt do wykonania robót</w:t>
      </w:r>
      <w:bookmarkEnd w:id="13"/>
    </w:p>
    <w:p w:rsidR="00BD4987" w:rsidRPr="00BD4987" w:rsidRDefault="00BD4987" w:rsidP="00BD4987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BD4987">
        <w:rPr>
          <w:rFonts w:ascii="Verdana" w:hAnsi="Verdana" w:cs="Verdana"/>
          <w:sz w:val="18"/>
          <w:szCs w:val="18"/>
          <w:lang w:val="pl-PL"/>
        </w:rPr>
        <w:t>Wykonawca przystępujący do montażu barier ochronnych powinien wykazać się możliwością korzystania z następującego sprzętu:</w:t>
      </w:r>
    </w:p>
    <w:p w:rsidR="00BD4987" w:rsidRPr="00BD4987" w:rsidRDefault="00BD4987" w:rsidP="00BD4987">
      <w:pPr>
        <w:pStyle w:val="Akapitzlist"/>
        <w:numPr>
          <w:ilvl w:val="0"/>
          <w:numId w:val="25"/>
        </w:numPr>
        <w:spacing w:before="60" w:after="60" w:line="276" w:lineRule="auto"/>
        <w:ind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BD4987">
        <w:rPr>
          <w:rFonts w:ascii="Verdana" w:hAnsi="Verdana" w:cs="Verdana"/>
          <w:sz w:val="18"/>
          <w:szCs w:val="18"/>
          <w:lang w:val="pl-PL"/>
        </w:rPr>
        <w:t>zestawu sprzętu specjalistycznego do montażu barier,</w:t>
      </w:r>
    </w:p>
    <w:p w:rsidR="00BD4987" w:rsidRPr="00BD4987" w:rsidRDefault="00BD4987" w:rsidP="00BD4987">
      <w:pPr>
        <w:pStyle w:val="Akapitzlist"/>
        <w:numPr>
          <w:ilvl w:val="0"/>
          <w:numId w:val="25"/>
        </w:numPr>
        <w:spacing w:before="60" w:after="60" w:line="276" w:lineRule="auto"/>
        <w:ind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BD4987">
        <w:rPr>
          <w:rFonts w:ascii="Verdana" w:hAnsi="Verdana" w:cs="Verdana"/>
          <w:sz w:val="18"/>
          <w:szCs w:val="18"/>
          <w:lang w:val="pl-PL"/>
        </w:rPr>
        <w:t>żurawi samochodowych,</w:t>
      </w:r>
    </w:p>
    <w:p w:rsidR="00BD4987" w:rsidRPr="00BD4987" w:rsidRDefault="00BD4987" w:rsidP="00BD4987">
      <w:pPr>
        <w:pStyle w:val="Akapitzlist"/>
        <w:numPr>
          <w:ilvl w:val="0"/>
          <w:numId w:val="25"/>
        </w:numPr>
        <w:spacing w:before="60" w:after="60" w:line="276" w:lineRule="auto"/>
        <w:ind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BD4987">
        <w:rPr>
          <w:rFonts w:ascii="Verdana" w:hAnsi="Verdana" w:cs="Verdana"/>
          <w:sz w:val="18"/>
          <w:szCs w:val="18"/>
          <w:lang w:val="pl-PL"/>
        </w:rPr>
        <w:t>wiertnic do wykonywania otworów pod słupki,</w:t>
      </w:r>
    </w:p>
    <w:p w:rsidR="00BD4987" w:rsidRPr="00BD4987" w:rsidRDefault="00BD4987" w:rsidP="00BD4987">
      <w:pPr>
        <w:pStyle w:val="Akapitzlist"/>
        <w:numPr>
          <w:ilvl w:val="0"/>
          <w:numId w:val="25"/>
        </w:numPr>
        <w:spacing w:before="60" w:after="60" w:line="276" w:lineRule="auto"/>
        <w:ind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BD4987">
        <w:rPr>
          <w:rFonts w:ascii="Verdana" w:hAnsi="Verdana" w:cs="Verdana"/>
          <w:sz w:val="18"/>
          <w:szCs w:val="18"/>
          <w:lang w:val="pl-PL"/>
        </w:rPr>
        <w:t>koparek kołowych,</w:t>
      </w:r>
    </w:p>
    <w:p w:rsidR="00BD4987" w:rsidRPr="00BD4987" w:rsidRDefault="00BD4987" w:rsidP="00BD4987">
      <w:pPr>
        <w:pStyle w:val="Akapitzlist"/>
        <w:numPr>
          <w:ilvl w:val="0"/>
          <w:numId w:val="25"/>
        </w:numPr>
        <w:spacing w:before="60" w:after="60" w:line="276" w:lineRule="auto"/>
        <w:ind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BD4987">
        <w:rPr>
          <w:rFonts w:ascii="Verdana" w:hAnsi="Verdana" w:cs="Verdana"/>
          <w:sz w:val="18"/>
          <w:szCs w:val="18"/>
          <w:lang w:val="pl-PL"/>
        </w:rPr>
        <w:t>urządzeń wbijających lub wibromłotów do pogrążania słupków w grunt,</w:t>
      </w:r>
    </w:p>
    <w:p w:rsidR="00BD4987" w:rsidRPr="00BD4987" w:rsidRDefault="00BD4987" w:rsidP="00BD4987">
      <w:pPr>
        <w:pStyle w:val="Akapitzlist"/>
        <w:numPr>
          <w:ilvl w:val="0"/>
          <w:numId w:val="25"/>
        </w:numPr>
        <w:spacing w:before="60" w:after="60" w:line="276" w:lineRule="auto"/>
        <w:ind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BD4987">
        <w:rPr>
          <w:rFonts w:ascii="Verdana" w:hAnsi="Verdana" w:cs="Verdana"/>
          <w:sz w:val="18"/>
          <w:szCs w:val="18"/>
          <w:lang w:val="pl-PL"/>
        </w:rPr>
        <w:t>ładowarki itp.</w:t>
      </w:r>
    </w:p>
    <w:p w:rsidR="00E1772B" w:rsidRPr="00BD4987" w:rsidRDefault="00E1772B" w:rsidP="00B1225E">
      <w:pPr>
        <w:pStyle w:val="Nagwek1"/>
        <w:keepNext w:val="0"/>
        <w:spacing w:before="240"/>
        <w:ind w:left="1418" w:right="208" w:hanging="567"/>
        <w:jc w:val="both"/>
        <w:rPr>
          <w:rFonts w:ascii="Verdana" w:hAnsi="Verdana"/>
          <w:color w:val="auto"/>
          <w:sz w:val="18"/>
          <w:szCs w:val="18"/>
          <w:lang w:val="pl-PL"/>
        </w:rPr>
      </w:pPr>
      <w:bookmarkStart w:id="14" w:name="bookmark9"/>
      <w:bookmarkStart w:id="15" w:name="_Toc74807328"/>
      <w:r w:rsidRPr="00BD4987">
        <w:rPr>
          <w:rFonts w:ascii="Verdana" w:hAnsi="Verdana"/>
          <w:color w:val="auto"/>
          <w:sz w:val="18"/>
          <w:szCs w:val="18"/>
          <w:lang w:val="pl-PL"/>
        </w:rPr>
        <w:t>Transport</w:t>
      </w:r>
      <w:bookmarkEnd w:id="14"/>
      <w:bookmarkEnd w:id="15"/>
    </w:p>
    <w:p w:rsidR="00BD4987" w:rsidRPr="00BD4987" w:rsidRDefault="00BD4987" w:rsidP="00BD4987">
      <w:pPr>
        <w:pStyle w:val="Nagwek2"/>
        <w:keepNext w:val="0"/>
        <w:ind w:left="1418" w:right="208" w:hanging="567"/>
        <w:jc w:val="both"/>
        <w:rPr>
          <w:lang w:val="pl-PL"/>
        </w:rPr>
      </w:pPr>
      <w:bookmarkStart w:id="16" w:name="_Toc74807329"/>
      <w:r w:rsidRPr="00BD4987">
        <w:rPr>
          <w:lang w:val="pl-PL"/>
        </w:rPr>
        <w:t>Ogólne wymagania dotyczące transportu</w:t>
      </w:r>
      <w:bookmarkEnd w:id="16"/>
    </w:p>
    <w:p w:rsidR="00BD4987" w:rsidRPr="00BD4987" w:rsidRDefault="00BD4987" w:rsidP="00BD4987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BD4987">
        <w:rPr>
          <w:rFonts w:ascii="Verdana" w:hAnsi="Verdana" w:cs="Verdana"/>
          <w:sz w:val="18"/>
          <w:szCs w:val="18"/>
          <w:lang w:val="pl-PL"/>
        </w:rPr>
        <w:t xml:space="preserve">Ogólne wymagania dotyczące </w:t>
      </w:r>
      <w:r>
        <w:rPr>
          <w:rFonts w:ascii="Verdana" w:hAnsi="Verdana" w:cs="Verdana"/>
          <w:sz w:val="18"/>
          <w:szCs w:val="18"/>
          <w:lang w:val="pl-PL"/>
        </w:rPr>
        <w:t xml:space="preserve">transportu </w:t>
      </w:r>
      <w:r w:rsidRPr="00BD4987">
        <w:rPr>
          <w:rFonts w:ascii="Verdana" w:hAnsi="Verdana" w:cs="Verdana"/>
          <w:sz w:val="18"/>
          <w:szCs w:val="18"/>
          <w:lang w:val="pl-PL"/>
        </w:rPr>
        <w:t>podano w STWiORB DM 00.00.00 „Wymagania ogólne”.</w:t>
      </w:r>
    </w:p>
    <w:p w:rsidR="00BD4987" w:rsidRPr="00B1225E" w:rsidRDefault="00BD4987" w:rsidP="00BD4987">
      <w:pPr>
        <w:pStyle w:val="Nagwek2"/>
        <w:keepNext w:val="0"/>
        <w:ind w:left="1418" w:right="208" w:hanging="567"/>
        <w:jc w:val="both"/>
        <w:rPr>
          <w:lang w:val="pl-PL"/>
        </w:rPr>
      </w:pPr>
      <w:bookmarkStart w:id="17" w:name="_Toc74807330"/>
      <w:r>
        <w:rPr>
          <w:lang w:val="pl-PL"/>
        </w:rPr>
        <w:t>Transport elementów barier</w:t>
      </w:r>
      <w:bookmarkEnd w:id="17"/>
    </w:p>
    <w:p w:rsidR="00BD4987" w:rsidRDefault="00BD4987" w:rsidP="00BD4987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>
        <w:rPr>
          <w:rFonts w:ascii="Verdana" w:hAnsi="Verdana" w:cs="Verdana"/>
          <w:sz w:val="18"/>
          <w:szCs w:val="18"/>
          <w:lang w:val="pl-PL"/>
        </w:rPr>
        <w:t>Transport elementów barier może odbywać się dowolnym środkiem transportu. Elementy konstrukcyjne barier nie powinny wystawać poza gabaryt środka transportu. Elementy dłuższe barier należy przewozić w opakowaniach producenta. Elementy montażowe i połączeniowe zaleca się przewozić w pojemnikach handlowych producenta.</w:t>
      </w:r>
    </w:p>
    <w:p w:rsidR="00BD4987" w:rsidRPr="00BD4987" w:rsidRDefault="00BD4987" w:rsidP="00BD4987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>
        <w:rPr>
          <w:rFonts w:ascii="Verdana" w:hAnsi="Verdana" w:cs="Verdana"/>
          <w:sz w:val="18"/>
          <w:szCs w:val="18"/>
          <w:lang w:val="pl-PL"/>
        </w:rPr>
        <w:t>Załadunek i wyładunek elementów konstrukcji barier można dokonywać za pomocą żurawi lub ręcznie. Przy załadunku i wyładunki należy zabezpieczyć elementy konstrukcji przed pomieszaniem. Elementy barier należy przewozić w warunkach zabezpieczających wyroby przed korozją i uszkodzeniami mechanicznymi.</w:t>
      </w:r>
    </w:p>
    <w:p w:rsidR="00E1772B" w:rsidRPr="000F757C" w:rsidRDefault="00E1772B" w:rsidP="00B1225E">
      <w:pPr>
        <w:pStyle w:val="Nagwek1"/>
        <w:keepNext w:val="0"/>
        <w:spacing w:before="240"/>
        <w:ind w:left="1418" w:right="208" w:hanging="567"/>
        <w:jc w:val="both"/>
        <w:rPr>
          <w:rFonts w:ascii="Verdana" w:hAnsi="Verdana"/>
          <w:color w:val="auto"/>
          <w:sz w:val="18"/>
          <w:szCs w:val="18"/>
          <w:lang w:val="pl-PL"/>
        </w:rPr>
      </w:pPr>
      <w:bookmarkStart w:id="18" w:name="bookmark12"/>
      <w:bookmarkStart w:id="19" w:name="_Toc74807331"/>
      <w:r w:rsidRPr="000F757C">
        <w:rPr>
          <w:rFonts w:ascii="Verdana" w:hAnsi="Verdana"/>
          <w:color w:val="auto"/>
          <w:sz w:val="18"/>
          <w:szCs w:val="18"/>
          <w:lang w:val="pl-PL"/>
        </w:rPr>
        <w:t>Wykonanie robót</w:t>
      </w:r>
      <w:bookmarkEnd w:id="18"/>
      <w:bookmarkEnd w:id="19"/>
    </w:p>
    <w:p w:rsidR="00BD4987" w:rsidRPr="000F757C" w:rsidRDefault="00BD4987" w:rsidP="00BD4987">
      <w:pPr>
        <w:pStyle w:val="Nagwek2"/>
        <w:keepNext w:val="0"/>
        <w:ind w:left="1418" w:right="208" w:hanging="567"/>
        <w:jc w:val="both"/>
        <w:rPr>
          <w:lang w:val="pl-PL"/>
        </w:rPr>
      </w:pPr>
      <w:bookmarkStart w:id="20" w:name="_Toc74807332"/>
      <w:r w:rsidRPr="000F757C">
        <w:rPr>
          <w:lang w:val="pl-PL"/>
        </w:rPr>
        <w:t>Ogólne zasady wykonania robót</w:t>
      </w:r>
      <w:bookmarkEnd w:id="20"/>
    </w:p>
    <w:p w:rsidR="00BD4987" w:rsidRPr="000F757C" w:rsidRDefault="00BD4987" w:rsidP="00BD4987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0F757C">
        <w:rPr>
          <w:rFonts w:ascii="Verdana" w:hAnsi="Verdana" w:cs="Verdana"/>
          <w:sz w:val="18"/>
          <w:szCs w:val="18"/>
          <w:lang w:val="pl-PL"/>
        </w:rPr>
        <w:t>Ogólne wymagania dotyczące transportu podano w STWiORB DM 00.00.00 „Wymagania ogólne”.</w:t>
      </w:r>
    </w:p>
    <w:p w:rsidR="00BD4987" w:rsidRDefault="00BD4987" w:rsidP="00BD4987">
      <w:pPr>
        <w:pStyle w:val="Nagwek2"/>
        <w:keepNext w:val="0"/>
        <w:ind w:left="1418" w:right="208" w:hanging="567"/>
        <w:jc w:val="both"/>
        <w:rPr>
          <w:lang w:val="pl-PL"/>
        </w:rPr>
      </w:pPr>
      <w:bookmarkStart w:id="21" w:name="_Toc74807333"/>
      <w:r>
        <w:rPr>
          <w:lang w:val="pl-PL"/>
        </w:rPr>
        <w:t>Roboty przygotowawcze</w:t>
      </w:r>
      <w:bookmarkEnd w:id="21"/>
    </w:p>
    <w:p w:rsidR="00BD4987" w:rsidRPr="000F757C" w:rsidRDefault="000F757C" w:rsidP="000F757C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0F757C">
        <w:rPr>
          <w:rFonts w:ascii="Verdana" w:hAnsi="Verdana" w:cs="Verdana"/>
          <w:sz w:val="18"/>
          <w:szCs w:val="18"/>
          <w:lang w:val="pl-PL"/>
        </w:rPr>
        <w:t>Przed wykonaniem właściwych robót należy, na podstawie Dokumentacji Projektowej lub wskazań Inżyniera:</w:t>
      </w:r>
    </w:p>
    <w:p w:rsidR="000F757C" w:rsidRPr="000F757C" w:rsidRDefault="000F757C" w:rsidP="000F757C">
      <w:pPr>
        <w:pStyle w:val="Akapitzlist"/>
        <w:numPr>
          <w:ilvl w:val="0"/>
          <w:numId w:val="27"/>
        </w:numPr>
        <w:spacing w:before="60" w:after="60" w:line="276" w:lineRule="auto"/>
        <w:ind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0F757C">
        <w:rPr>
          <w:rFonts w:ascii="Verdana" w:hAnsi="Verdana" w:cs="Verdana"/>
          <w:sz w:val="18"/>
          <w:szCs w:val="18"/>
          <w:lang w:val="pl-PL"/>
        </w:rPr>
        <w:t>wytyczyć trasę bariery,</w:t>
      </w:r>
    </w:p>
    <w:p w:rsidR="000F757C" w:rsidRPr="000F757C" w:rsidRDefault="000F757C" w:rsidP="000F757C">
      <w:pPr>
        <w:pStyle w:val="Akapitzlist"/>
        <w:numPr>
          <w:ilvl w:val="0"/>
          <w:numId w:val="27"/>
        </w:numPr>
        <w:spacing w:before="60" w:after="60" w:line="276" w:lineRule="auto"/>
        <w:ind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0F757C">
        <w:rPr>
          <w:rFonts w:ascii="Verdana" w:hAnsi="Verdana" w:cs="Verdana"/>
          <w:sz w:val="18"/>
          <w:szCs w:val="18"/>
          <w:lang w:val="pl-PL"/>
        </w:rPr>
        <w:t>określić miejsca odcinków początkowych i końcowych bariery,</w:t>
      </w:r>
    </w:p>
    <w:p w:rsidR="000F757C" w:rsidRPr="000F757C" w:rsidRDefault="000F757C" w:rsidP="000F757C">
      <w:pPr>
        <w:pStyle w:val="Akapitzlist"/>
        <w:numPr>
          <w:ilvl w:val="0"/>
          <w:numId w:val="27"/>
        </w:numPr>
        <w:spacing w:before="60" w:after="60" w:line="276" w:lineRule="auto"/>
        <w:ind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0F757C">
        <w:rPr>
          <w:rFonts w:ascii="Verdana" w:hAnsi="Verdana" w:cs="Verdana"/>
          <w:sz w:val="18"/>
          <w:szCs w:val="18"/>
          <w:lang w:val="pl-PL"/>
        </w:rPr>
        <w:t>ustalić ew. miejsca przerw, przejść i przejazdów w barierze itp.</w:t>
      </w:r>
    </w:p>
    <w:p w:rsidR="000F757C" w:rsidRPr="000F757C" w:rsidRDefault="000F757C" w:rsidP="000F757C">
      <w:pPr>
        <w:pStyle w:val="Nagwek2"/>
        <w:keepNext w:val="0"/>
        <w:ind w:left="1418" w:right="208" w:hanging="567"/>
        <w:jc w:val="both"/>
        <w:rPr>
          <w:lang w:val="pl-PL"/>
        </w:rPr>
      </w:pPr>
      <w:bookmarkStart w:id="22" w:name="_Toc74807334"/>
      <w:r w:rsidRPr="000F757C">
        <w:rPr>
          <w:lang w:val="pl-PL"/>
        </w:rPr>
        <w:t>Montaż bariery</w:t>
      </w:r>
      <w:bookmarkEnd w:id="22"/>
    </w:p>
    <w:p w:rsidR="000F757C" w:rsidRPr="000F757C" w:rsidRDefault="000F757C" w:rsidP="000F757C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0F757C">
        <w:rPr>
          <w:rFonts w:ascii="Verdana" w:hAnsi="Verdana" w:cs="Verdana"/>
          <w:sz w:val="18"/>
          <w:szCs w:val="18"/>
          <w:lang w:val="pl-PL"/>
        </w:rPr>
        <w:t>Sposób montażu bariery zaproponuje Wykonawca i przedstawi do akceptacji Inżyniera.</w:t>
      </w:r>
    </w:p>
    <w:p w:rsidR="000F757C" w:rsidRPr="000F757C" w:rsidRDefault="000F757C" w:rsidP="000F757C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0F757C">
        <w:rPr>
          <w:rFonts w:ascii="Verdana" w:hAnsi="Verdana" w:cs="Verdana"/>
          <w:sz w:val="18"/>
          <w:szCs w:val="18"/>
          <w:lang w:val="pl-PL"/>
        </w:rPr>
        <w:t>Przy montażu bariery niedopuszczalne jest wykonywanie jakichkolwiek otworów lub cięć naruszających powłokę poszczególnych elementów bariery.</w:t>
      </w:r>
    </w:p>
    <w:p w:rsidR="000F757C" w:rsidRPr="000F757C" w:rsidRDefault="000F757C" w:rsidP="000F757C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0F757C">
        <w:rPr>
          <w:rFonts w:ascii="Verdana" w:hAnsi="Verdana" w:cs="Verdana"/>
          <w:sz w:val="18"/>
          <w:szCs w:val="18"/>
          <w:lang w:val="pl-PL"/>
        </w:rPr>
        <w:t>Przy montażu barier należy zwracać uwagę na poprawne wykonanie zgodne z Dokumentacją Projektową i wytycznymi producenta barier.</w:t>
      </w:r>
    </w:p>
    <w:p w:rsidR="000F757C" w:rsidRPr="000F757C" w:rsidRDefault="000F757C" w:rsidP="000F757C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0F757C">
        <w:rPr>
          <w:rFonts w:ascii="Verdana" w:hAnsi="Verdana" w:cs="Verdana"/>
          <w:sz w:val="18"/>
          <w:szCs w:val="18"/>
          <w:lang w:val="pl-PL"/>
        </w:rPr>
        <w:t>Na barierze powinny być umieszczone elementy odblaskowe:</w:t>
      </w:r>
    </w:p>
    <w:p w:rsidR="000F757C" w:rsidRPr="00A150D6" w:rsidRDefault="000F757C" w:rsidP="000F757C">
      <w:pPr>
        <w:pStyle w:val="Akapitzlist"/>
        <w:numPr>
          <w:ilvl w:val="0"/>
          <w:numId w:val="28"/>
        </w:numPr>
        <w:spacing w:before="60" w:after="60" w:line="276" w:lineRule="auto"/>
        <w:ind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A150D6">
        <w:rPr>
          <w:rFonts w:ascii="Verdana" w:hAnsi="Verdana" w:cs="Verdana"/>
          <w:sz w:val="18"/>
          <w:szCs w:val="18"/>
          <w:lang w:val="pl-PL"/>
        </w:rPr>
        <w:t>czerwone – po prawej stronie jezdni,</w:t>
      </w:r>
    </w:p>
    <w:p w:rsidR="000F757C" w:rsidRPr="00A150D6" w:rsidRDefault="000F757C" w:rsidP="000F757C">
      <w:pPr>
        <w:pStyle w:val="Akapitzlist"/>
        <w:numPr>
          <w:ilvl w:val="0"/>
          <w:numId w:val="28"/>
        </w:numPr>
        <w:spacing w:before="60" w:after="60" w:line="276" w:lineRule="auto"/>
        <w:ind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A150D6">
        <w:rPr>
          <w:rFonts w:ascii="Verdana" w:hAnsi="Verdana" w:cs="Verdana"/>
          <w:sz w:val="18"/>
          <w:szCs w:val="18"/>
          <w:lang w:val="pl-PL"/>
        </w:rPr>
        <w:t>białe – po lewej stronie jezdni.</w:t>
      </w:r>
    </w:p>
    <w:p w:rsidR="000F757C" w:rsidRPr="00A150D6" w:rsidRDefault="000F757C" w:rsidP="000F757C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A150D6">
        <w:rPr>
          <w:rFonts w:ascii="Verdana" w:hAnsi="Verdana" w:cs="Verdana"/>
          <w:sz w:val="18"/>
          <w:szCs w:val="18"/>
          <w:lang w:val="pl-PL"/>
        </w:rPr>
        <w:t>Elementy odblaskowe należy umocować do bariery w sposób trwały, zgodny z wytycznymi producenta barier i akceptacją Inżyniera.</w:t>
      </w:r>
    </w:p>
    <w:p w:rsidR="00370F43" w:rsidRPr="00A150D6" w:rsidRDefault="00370F43" w:rsidP="00B1225E">
      <w:pPr>
        <w:pStyle w:val="Nagwek1"/>
        <w:keepNext w:val="0"/>
        <w:spacing w:before="240"/>
        <w:ind w:left="1418" w:right="208" w:hanging="567"/>
        <w:jc w:val="both"/>
        <w:rPr>
          <w:rFonts w:ascii="Verdana" w:hAnsi="Verdana"/>
          <w:color w:val="auto"/>
          <w:sz w:val="18"/>
          <w:szCs w:val="18"/>
          <w:lang w:val="pl-PL"/>
        </w:rPr>
      </w:pPr>
      <w:bookmarkStart w:id="23" w:name="_Toc74807335"/>
      <w:bookmarkStart w:id="24" w:name="bookmark17"/>
      <w:r w:rsidRPr="00A150D6">
        <w:rPr>
          <w:rFonts w:ascii="Verdana" w:hAnsi="Verdana"/>
          <w:color w:val="auto"/>
          <w:sz w:val="18"/>
          <w:szCs w:val="18"/>
          <w:lang w:val="pl-PL"/>
        </w:rPr>
        <w:t>Kontrola jakości robót</w:t>
      </w:r>
      <w:bookmarkEnd w:id="23"/>
    </w:p>
    <w:p w:rsidR="00664B0C" w:rsidRPr="00A150D6" w:rsidRDefault="00664B0C" w:rsidP="00664B0C">
      <w:pPr>
        <w:pStyle w:val="Nagwek2"/>
        <w:keepNext w:val="0"/>
        <w:ind w:left="1418" w:right="208" w:hanging="567"/>
        <w:jc w:val="both"/>
        <w:rPr>
          <w:lang w:val="pl-PL"/>
        </w:rPr>
      </w:pPr>
      <w:bookmarkStart w:id="25" w:name="_Toc74807336"/>
      <w:r w:rsidRPr="00A150D6">
        <w:rPr>
          <w:lang w:val="pl-PL"/>
        </w:rPr>
        <w:t>Ogólne zasady kontroli jakości robót</w:t>
      </w:r>
      <w:bookmarkEnd w:id="25"/>
    </w:p>
    <w:p w:rsidR="00664B0C" w:rsidRPr="00A150D6" w:rsidRDefault="00664B0C" w:rsidP="00664B0C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A150D6">
        <w:rPr>
          <w:rFonts w:ascii="Verdana" w:hAnsi="Verdana" w:cs="Verdana"/>
          <w:sz w:val="18"/>
          <w:szCs w:val="18"/>
          <w:lang w:val="pl-PL"/>
        </w:rPr>
        <w:t>Ogólne wymagania dotyczące transportu podano w STWiORB DM 00.00.00 „Wymagania ogólne”.</w:t>
      </w:r>
    </w:p>
    <w:p w:rsidR="00664B0C" w:rsidRPr="00A150D6" w:rsidRDefault="00664B0C" w:rsidP="00664B0C">
      <w:pPr>
        <w:pStyle w:val="Nagwek2"/>
        <w:keepNext w:val="0"/>
        <w:ind w:left="1418" w:right="208" w:hanging="567"/>
        <w:jc w:val="both"/>
        <w:rPr>
          <w:lang w:val="pl-PL"/>
        </w:rPr>
      </w:pPr>
      <w:bookmarkStart w:id="26" w:name="_Toc74807337"/>
      <w:r w:rsidRPr="00A150D6">
        <w:rPr>
          <w:lang w:val="pl-PL"/>
        </w:rPr>
        <w:lastRenderedPageBreak/>
        <w:t>Badania przed przystąpieniem do robót</w:t>
      </w:r>
      <w:bookmarkEnd w:id="26"/>
    </w:p>
    <w:p w:rsidR="00664B0C" w:rsidRPr="00A150D6" w:rsidRDefault="00664B0C" w:rsidP="00664B0C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A150D6">
        <w:rPr>
          <w:rFonts w:ascii="Verdana" w:hAnsi="Verdana" w:cs="Verdana"/>
          <w:sz w:val="18"/>
          <w:szCs w:val="18"/>
          <w:lang w:val="pl-PL"/>
        </w:rPr>
        <w:t>Przed przystąpieniem do robót Wykonawca powinien przedstawić Inżynierowi:</w:t>
      </w:r>
    </w:p>
    <w:p w:rsidR="00664B0C" w:rsidRPr="00A150D6" w:rsidRDefault="00664B0C" w:rsidP="00664B0C">
      <w:pPr>
        <w:pStyle w:val="Akapitzlist"/>
        <w:numPr>
          <w:ilvl w:val="0"/>
          <w:numId w:val="29"/>
        </w:numPr>
        <w:spacing w:before="60" w:after="60" w:line="276" w:lineRule="auto"/>
        <w:ind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A150D6">
        <w:rPr>
          <w:rFonts w:ascii="Verdana" w:hAnsi="Verdana" w:cs="Verdana"/>
          <w:sz w:val="18"/>
          <w:szCs w:val="18"/>
          <w:lang w:val="pl-PL"/>
        </w:rPr>
        <w:t>dokumenty dotyczące barier stwierdzające ich zgodność z wymaganiami normy PN-EN 1317</w:t>
      </w:r>
    </w:p>
    <w:p w:rsidR="00664B0C" w:rsidRPr="00A150D6" w:rsidRDefault="00664B0C" w:rsidP="00664B0C">
      <w:pPr>
        <w:pStyle w:val="Akapitzlist"/>
        <w:numPr>
          <w:ilvl w:val="0"/>
          <w:numId w:val="29"/>
        </w:numPr>
        <w:spacing w:before="60" w:after="60" w:line="276" w:lineRule="auto"/>
        <w:ind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A150D6">
        <w:rPr>
          <w:rFonts w:ascii="Verdana" w:hAnsi="Verdana" w:cs="Verdana"/>
          <w:sz w:val="18"/>
          <w:szCs w:val="18"/>
          <w:lang w:val="pl-PL"/>
        </w:rPr>
        <w:t>zaświadczenia o jakości (atesty) na materiały, do których wydania producenci są zobowiązani przez właściwe normy PN i BN.</w:t>
      </w:r>
    </w:p>
    <w:p w:rsidR="00664B0C" w:rsidRPr="00A150D6" w:rsidRDefault="00664B0C" w:rsidP="00664B0C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A150D6">
        <w:rPr>
          <w:rFonts w:ascii="Verdana" w:hAnsi="Verdana" w:cs="Verdana"/>
          <w:sz w:val="18"/>
          <w:szCs w:val="18"/>
          <w:lang w:val="pl-PL"/>
        </w:rPr>
        <w:t>Do materiałów, których badania powinien przeprowadzić Wykonawca należą materiały do wykonania fundamentów betonowych i ew. kotew „na mokro”. Uwzględniając nieskomplikowany charakter robót betonowych, na wniosek Wykonawcy, Inżynier może zwolnić go z potrzeby wykonania badań materiałów dla tych robót.</w:t>
      </w:r>
    </w:p>
    <w:p w:rsidR="00664B0C" w:rsidRPr="00A150D6" w:rsidRDefault="00664B0C" w:rsidP="00664B0C">
      <w:pPr>
        <w:pStyle w:val="Nagwek2"/>
        <w:keepNext w:val="0"/>
        <w:ind w:left="1418" w:right="208" w:hanging="567"/>
        <w:jc w:val="both"/>
        <w:rPr>
          <w:lang w:val="pl-PL"/>
        </w:rPr>
      </w:pPr>
      <w:bookmarkStart w:id="27" w:name="_Toc74807338"/>
      <w:r w:rsidRPr="00A150D6">
        <w:rPr>
          <w:lang w:val="pl-PL"/>
        </w:rPr>
        <w:t>Badania w czasie wykonywania robót</w:t>
      </w:r>
      <w:bookmarkEnd w:id="27"/>
    </w:p>
    <w:p w:rsidR="00664B0C" w:rsidRPr="00A150D6" w:rsidRDefault="00664B0C" w:rsidP="00664B0C">
      <w:pPr>
        <w:pStyle w:val="Nagwek3"/>
        <w:tabs>
          <w:tab w:val="left" w:pos="851"/>
        </w:tabs>
        <w:ind w:left="1560" w:right="208" w:hanging="709"/>
        <w:jc w:val="both"/>
        <w:rPr>
          <w:b/>
          <w:bCs/>
          <w:color w:val="auto"/>
          <w:lang w:val="pl-PL"/>
        </w:rPr>
      </w:pPr>
      <w:r w:rsidRPr="00A150D6">
        <w:rPr>
          <w:b/>
          <w:bCs/>
          <w:color w:val="auto"/>
          <w:lang w:val="pl-PL"/>
        </w:rPr>
        <w:t>Badania materiałów w czasie wykonywania robót</w:t>
      </w:r>
    </w:p>
    <w:p w:rsidR="00664B0C" w:rsidRPr="00A150D6" w:rsidRDefault="00664B0C" w:rsidP="00664B0C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A150D6">
        <w:rPr>
          <w:rFonts w:ascii="Verdana" w:hAnsi="Verdana" w:cs="Verdana"/>
          <w:sz w:val="18"/>
          <w:szCs w:val="18"/>
          <w:lang w:val="pl-PL"/>
        </w:rPr>
        <w:t>Wszystkie materiały dostarczone na budowę z deklaracją zgodności producenta powinny być sprawdzone w zakresie powierzchni wyrobu i jego wymiarów.</w:t>
      </w:r>
    </w:p>
    <w:p w:rsidR="00664B0C" w:rsidRPr="00A150D6" w:rsidRDefault="00664B0C" w:rsidP="00664B0C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A150D6">
        <w:rPr>
          <w:rFonts w:ascii="Verdana" w:hAnsi="Verdana" w:cs="Verdana"/>
          <w:sz w:val="18"/>
          <w:szCs w:val="18"/>
          <w:lang w:val="pl-PL"/>
        </w:rPr>
        <w:t>Częstotliwość badań i ocena ich wyników powinna być zgodna z zaleceniami tablicy 2. W przypadkach budzących wątpliwości można zlecić uprawnionej jednostce zbadanie właściwości dostarczonych wyrobów i materiałów w zakresie wymagań podanych w punkcie 2.</w:t>
      </w:r>
    </w:p>
    <w:p w:rsidR="00A150D6" w:rsidRPr="00A150D6" w:rsidRDefault="00A150D6" w:rsidP="00A150D6">
      <w:pPr>
        <w:pStyle w:val="Nagwek4"/>
        <w:numPr>
          <w:ilvl w:val="0"/>
          <w:numId w:val="0"/>
        </w:numPr>
        <w:tabs>
          <w:tab w:val="left" w:pos="851"/>
        </w:tabs>
        <w:ind w:left="851" w:right="208"/>
        <w:jc w:val="both"/>
        <w:rPr>
          <w:rFonts w:ascii="Verdana" w:hAnsi="Verdana" w:cs="Verdana"/>
          <w:color w:val="auto"/>
          <w:sz w:val="16"/>
          <w:szCs w:val="16"/>
          <w:lang w:val="pl-PL"/>
        </w:rPr>
      </w:pPr>
      <w:r w:rsidRPr="00A150D6">
        <w:rPr>
          <w:rFonts w:ascii="Verdana" w:hAnsi="Verdana" w:cs="Verdana"/>
          <w:color w:val="auto"/>
          <w:sz w:val="16"/>
          <w:szCs w:val="16"/>
          <w:lang w:val="pl-PL"/>
        </w:rPr>
        <w:t xml:space="preserve">Tabela </w:t>
      </w:r>
      <w:r w:rsidR="00D029C5" w:rsidRPr="00A150D6">
        <w:rPr>
          <w:rFonts w:ascii="Verdana" w:hAnsi="Verdana" w:cs="Verdana"/>
          <w:color w:val="auto"/>
          <w:sz w:val="16"/>
          <w:szCs w:val="16"/>
          <w:lang w:val="pl-PL"/>
        </w:rPr>
        <w:fldChar w:fldCharType="begin"/>
      </w:r>
      <w:r w:rsidRPr="00A150D6">
        <w:rPr>
          <w:rFonts w:ascii="Verdana" w:hAnsi="Verdana" w:cs="Verdana"/>
          <w:color w:val="auto"/>
          <w:sz w:val="16"/>
          <w:szCs w:val="16"/>
          <w:lang w:val="pl-PL"/>
        </w:rPr>
        <w:instrText xml:space="preserve"> SEQ Tabela \* ARABIC </w:instrText>
      </w:r>
      <w:r w:rsidR="00D029C5" w:rsidRPr="00A150D6">
        <w:rPr>
          <w:rFonts w:ascii="Verdana" w:hAnsi="Verdana" w:cs="Verdana"/>
          <w:color w:val="auto"/>
          <w:sz w:val="16"/>
          <w:szCs w:val="16"/>
          <w:lang w:val="pl-PL"/>
        </w:rPr>
        <w:fldChar w:fldCharType="separate"/>
      </w:r>
      <w:r w:rsidRPr="00A150D6">
        <w:rPr>
          <w:rFonts w:ascii="Verdana" w:hAnsi="Verdana" w:cs="Verdana"/>
          <w:color w:val="auto"/>
          <w:sz w:val="16"/>
          <w:szCs w:val="16"/>
          <w:lang w:val="pl-PL"/>
        </w:rPr>
        <w:t>1</w:t>
      </w:r>
      <w:r w:rsidR="00D029C5" w:rsidRPr="00A150D6">
        <w:rPr>
          <w:rFonts w:ascii="Verdana" w:hAnsi="Verdana" w:cs="Verdana"/>
          <w:color w:val="auto"/>
          <w:sz w:val="16"/>
          <w:szCs w:val="16"/>
          <w:lang w:val="pl-PL"/>
        </w:rPr>
        <w:fldChar w:fldCharType="end"/>
      </w:r>
      <w:r w:rsidRPr="00A150D6">
        <w:rPr>
          <w:rFonts w:ascii="Verdana" w:hAnsi="Verdana" w:cs="Verdana"/>
          <w:color w:val="auto"/>
          <w:sz w:val="16"/>
          <w:szCs w:val="16"/>
          <w:lang w:val="pl-PL"/>
        </w:rPr>
        <w:t xml:space="preserve"> Częstotliwość badań przy sprawdzeniu powierzchni i wymiarów wyrobów dostarczonych przez producenta</w:t>
      </w:r>
    </w:p>
    <w:tbl>
      <w:tblPr>
        <w:tblStyle w:val="Tabela-Siatka"/>
        <w:tblW w:w="0" w:type="auto"/>
        <w:tblInd w:w="851" w:type="dxa"/>
        <w:tblLook w:val="04A0" w:firstRow="1" w:lastRow="0" w:firstColumn="1" w:lastColumn="0" w:noHBand="0" w:noVBand="1"/>
      </w:tblPr>
      <w:tblGrid>
        <w:gridCol w:w="601"/>
        <w:gridCol w:w="1370"/>
        <w:gridCol w:w="2135"/>
        <w:gridCol w:w="3393"/>
        <w:gridCol w:w="1843"/>
      </w:tblGrid>
      <w:tr w:rsidR="00A150D6" w:rsidRPr="00A150D6" w:rsidTr="00664B0C">
        <w:tc>
          <w:tcPr>
            <w:tcW w:w="601" w:type="dxa"/>
            <w:vAlign w:val="center"/>
          </w:tcPr>
          <w:p w:rsidR="00664B0C" w:rsidRPr="00A150D6" w:rsidRDefault="00664B0C" w:rsidP="00A150D6">
            <w:pPr>
              <w:ind w:left="57" w:right="57"/>
              <w:rPr>
                <w:rFonts w:ascii="Verdana" w:hAnsi="Verdana" w:cs="Verdana"/>
                <w:sz w:val="16"/>
                <w:szCs w:val="16"/>
                <w:lang w:val="pl-PL"/>
              </w:rPr>
            </w:pPr>
            <w:r w:rsidRPr="00A150D6">
              <w:rPr>
                <w:rFonts w:ascii="Verdana" w:hAnsi="Verdana" w:cs="Verdana"/>
                <w:sz w:val="16"/>
                <w:szCs w:val="16"/>
                <w:lang w:val="pl-PL"/>
              </w:rPr>
              <w:t>Lp.</w:t>
            </w:r>
          </w:p>
        </w:tc>
        <w:tc>
          <w:tcPr>
            <w:tcW w:w="1370" w:type="dxa"/>
            <w:vAlign w:val="center"/>
          </w:tcPr>
          <w:p w:rsidR="00664B0C" w:rsidRPr="00A150D6" w:rsidRDefault="00664B0C" w:rsidP="00A150D6">
            <w:pPr>
              <w:ind w:left="57" w:right="57"/>
              <w:rPr>
                <w:rFonts w:ascii="Verdana" w:hAnsi="Verdana" w:cs="Verdana"/>
                <w:sz w:val="16"/>
                <w:szCs w:val="16"/>
                <w:lang w:val="pl-PL"/>
              </w:rPr>
            </w:pPr>
            <w:r w:rsidRPr="00A150D6">
              <w:rPr>
                <w:rFonts w:ascii="Verdana" w:hAnsi="Verdana" w:cs="Verdana"/>
                <w:sz w:val="16"/>
                <w:szCs w:val="16"/>
                <w:lang w:val="pl-PL"/>
              </w:rPr>
              <w:t>Rodzaj badania</w:t>
            </w:r>
          </w:p>
        </w:tc>
        <w:tc>
          <w:tcPr>
            <w:tcW w:w="2135" w:type="dxa"/>
            <w:vAlign w:val="center"/>
          </w:tcPr>
          <w:p w:rsidR="00664B0C" w:rsidRPr="00A150D6" w:rsidRDefault="00664B0C" w:rsidP="00A150D6">
            <w:pPr>
              <w:ind w:left="57" w:right="57"/>
              <w:rPr>
                <w:rFonts w:ascii="Verdana" w:hAnsi="Verdana" w:cs="Verdana"/>
                <w:sz w:val="16"/>
                <w:szCs w:val="16"/>
                <w:lang w:val="pl-PL"/>
              </w:rPr>
            </w:pPr>
            <w:r w:rsidRPr="00A150D6">
              <w:rPr>
                <w:rFonts w:ascii="Verdana" w:hAnsi="Verdana" w:cs="Verdana"/>
                <w:sz w:val="16"/>
                <w:szCs w:val="16"/>
                <w:lang w:val="pl-PL"/>
              </w:rPr>
              <w:t>Liczba badań</w:t>
            </w:r>
          </w:p>
        </w:tc>
        <w:tc>
          <w:tcPr>
            <w:tcW w:w="3393" w:type="dxa"/>
            <w:vAlign w:val="center"/>
          </w:tcPr>
          <w:p w:rsidR="00664B0C" w:rsidRPr="00A150D6" w:rsidRDefault="00664B0C" w:rsidP="00A150D6">
            <w:pPr>
              <w:ind w:left="57" w:right="57"/>
              <w:rPr>
                <w:rFonts w:ascii="Verdana" w:hAnsi="Verdana" w:cs="Verdana"/>
                <w:sz w:val="16"/>
                <w:szCs w:val="16"/>
                <w:lang w:val="pl-PL"/>
              </w:rPr>
            </w:pPr>
            <w:r w:rsidRPr="00A150D6">
              <w:rPr>
                <w:rFonts w:ascii="Verdana" w:hAnsi="Verdana" w:cs="Verdana"/>
                <w:sz w:val="16"/>
                <w:szCs w:val="16"/>
                <w:lang w:val="pl-PL"/>
              </w:rPr>
              <w:t>Opis badań</w:t>
            </w:r>
          </w:p>
        </w:tc>
        <w:tc>
          <w:tcPr>
            <w:tcW w:w="1843" w:type="dxa"/>
            <w:vAlign w:val="center"/>
          </w:tcPr>
          <w:p w:rsidR="00664B0C" w:rsidRPr="00A150D6" w:rsidRDefault="00664B0C" w:rsidP="00A150D6">
            <w:pPr>
              <w:ind w:left="57" w:right="57"/>
              <w:rPr>
                <w:rFonts w:ascii="Verdana" w:hAnsi="Verdana" w:cs="Verdana"/>
                <w:sz w:val="16"/>
                <w:szCs w:val="16"/>
                <w:lang w:val="pl-PL"/>
              </w:rPr>
            </w:pPr>
            <w:r w:rsidRPr="00A150D6">
              <w:rPr>
                <w:rFonts w:ascii="Verdana" w:hAnsi="Verdana" w:cs="Verdana"/>
                <w:sz w:val="16"/>
                <w:szCs w:val="16"/>
                <w:lang w:val="pl-PL"/>
              </w:rPr>
              <w:t>Ocena wyników badań</w:t>
            </w:r>
          </w:p>
        </w:tc>
      </w:tr>
      <w:tr w:rsidR="00A150D6" w:rsidRPr="00B16471" w:rsidTr="00664B0C">
        <w:tc>
          <w:tcPr>
            <w:tcW w:w="601" w:type="dxa"/>
            <w:vAlign w:val="center"/>
          </w:tcPr>
          <w:p w:rsidR="00664B0C" w:rsidRPr="00A150D6" w:rsidRDefault="00664B0C" w:rsidP="00A150D6">
            <w:pPr>
              <w:ind w:left="57" w:right="57"/>
              <w:rPr>
                <w:rFonts w:ascii="Verdana" w:hAnsi="Verdana" w:cs="Verdana"/>
                <w:sz w:val="16"/>
                <w:szCs w:val="16"/>
                <w:lang w:val="pl-PL"/>
              </w:rPr>
            </w:pPr>
            <w:r w:rsidRPr="00A150D6">
              <w:rPr>
                <w:rFonts w:ascii="Verdana" w:hAnsi="Verdana" w:cs="Verdana"/>
                <w:sz w:val="16"/>
                <w:szCs w:val="16"/>
                <w:lang w:val="pl-PL"/>
              </w:rPr>
              <w:t>1</w:t>
            </w:r>
          </w:p>
        </w:tc>
        <w:tc>
          <w:tcPr>
            <w:tcW w:w="1370" w:type="dxa"/>
            <w:vAlign w:val="center"/>
          </w:tcPr>
          <w:p w:rsidR="00664B0C" w:rsidRPr="00A150D6" w:rsidRDefault="00664B0C" w:rsidP="00A150D6">
            <w:pPr>
              <w:ind w:left="57" w:right="57"/>
              <w:rPr>
                <w:rFonts w:ascii="Verdana" w:hAnsi="Verdana" w:cs="Verdana"/>
                <w:sz w:val="16"/>
                <w:szCs w:val="16"/>
                <w:lang w:val="pl-PL"/>
              </w:rPr>
            </w:pPr>
            <w:r w:rsidRPr="00A150D6">
              <w:rPr>
                <w:rFonts w:ascii="Verdana" w:hAnsi="Verdana" w:cs="Verdana"/>
                <w:sz w:val="16"/>
                <w:szCs w:val="16"/>
                <w:lang w:val="pl-PL"/>
              </w:rPr>
              <w:t>Sprawdzenie powierzchni</w:t>
            </w:r>
          </w:p>
        </w:tc>
        <w:tc>
          <w:tcPr>
            <w:tcW w:w="2135" w:type="dxa"/>
            <w:vMerge w:val="restart"/>
            <w:vAlign w:val="center"/>
          </w:tcPr>
          <w:p w:rsidR="00664B0C" w:rsidRPr="00A150D6" w:rsidRDefault="00664B0C" w:rsidP="00A150D6">
            <w:pPr>
              <w:ind w:left="57" w:right="57"/>
              <w:rPr>
                <w:rFonts w:ascii="Verdana" w:hAnsi="Verdana" w:cs="Verdana"/>
                <w:sz w:val="16"/>
                <w:szCs w:val="16"/>
                <w:lang w:val="pl-PL"/>
              </w:rPr>
            </w:pPr>
            <w:r w:rsidRPr="00A150D6">
              <w:rPr>
                <w:rFonts w:ascii="Verdana" w:hAnsi="Verdana" w:cs="Verdana"/>
                <w:sz w:val="16"/>
                <w:szCs w:val="16"/>
                <w:lang w:val="pl-PL"/>
              </w:rPr>
              <w:t>5 do 10 badań z wybranych losowo elementów w każdej dostarczanej partii wyrobów liczącej do 1000 elementów</w:t>
            </w:r>
          </w:p>
        </w:tc>
        <w:tc>
          <w:tcPr>
            <w:tcW w:w="3393" w:type="dxa"/>
            <w:vAlign w:val="center"/>
          </w:tcPr>
          <w:p w:rsidR="00664B0C" w:rsidRPr="00A150D6" w:rsidRDefault="00664B0C" w:rsidP="00A150D6">
            <w:pPr>
              <w:ind w:left="57" w:right="57"/>
              <w:rPr>
                <w:rFonts w:ascii="Verdana" w:hAnsi="Verdana" w:cs="Verdana"/>
                <w:sz w:val="16"/>
                <w:szCs w:val="16"/>
                <w:lang w:val="pl-PL"/>
              </w:rPr>
            </w:pPr>
            <w:r w:rsidRPr="00A150D6">
              <w:rPr>
                <w:rFonts w:ascii="Verdana" w:hAnsi="Verdana" w:cs="Verdana"/>
                <w:sz w:val="16"/>
                <w:szCs w:val="16"/>
                <w:lang w:val="pl-PL"/>
              </w:rPr>
              <w:t>Powierzchnię zbadać nie uzbrojonym okiem. Do ew. sprawdzenia głębokości wad użyć dostępnych narzędzi (np. liniałów z czujnikiem, suwmiarek, mikrometrów itp.)</w:t>
            </w:r>
          </w:p>
        </w:tc>
        <w:tc>
          <w:tcPr>
            <w:tcW w:w="1843" w:type="dxa"/>
            <w:vMerge w:val="restart"/>
            <w:vAlign w:val="center"/>
          </w:tcPr>
          <w:p w:rsidR="00664B0C" w:rsidRPr="00A150D6" w:rsidRDefault="00664B0C" w:rsidP="00A150D6">
            <w:pPr>
              <w:ind w:left="57" w:right="57"/>
              <w:rPr>
                <w:rFonts w:ascii="Verdana" w:hAnsi="Verdana" w:cs="Verdana"/>
                <w:sz w:val="16"/>
                <w:szCs w:val="16"/>
                <w:lang w:val="pl-PL"/>
              </w:rPr>
            </w:pPr>
            <w:r w:rsidRPr="00A150D6">
              <w:rPr>
                <w:rFonts w:ascii="Verdana" w:hAnsi="Verdana" w:cs="Verdana"/>
                <w:sz w:val="16"/>
                <w:szCs w:val="16"/>
                <w:lang w:val="pl-PL"/>
              </w:rPr>
              <w:t xml:space="preserve">Wyniki powinny być zgodne z wymaganiami punktu 2 i katalogiem (informacją) </w:t>
            </w:r>
            <w:proofErr w:type="spellStart"/>
            <w:r w:rsidRPr="00A150D6">
              <w:rPr>
                <w:rFonts w:ascii="Verdana" w:hAnsi="Verdana" w:cs="Verdana"/>
                <w:sz w:val="16"/>
                <w:szCs w:val="16"/>
                <w:lang w:val="pl-PL"/>
              </w:rPr>
              <w:t>producetna</w:t>
            </w:r>
            <w:proofErr w:type="spellEnd"/>
            <w:r w:rsidRPr="00A150D6">
              <w:rPr>
                <w:rFonts w:ascii="Verdana" w:hAnsi="Verdana" w:cs="Verdana"/>
                <w:sz w:val="16"/>
                <w:szCs w:val="16"/>
                <w:lang w:val="pl-PL"/>
              </w:rPr>
              <w:t xml:space="preserve"> barier</w:t>
            </w:r>
          </w:p>
        </w:tc>
      </w:tr>
      <w:tr w:rsidR="00A150D6" w:rsidRPr="00B16471" w:rsidTr="00664B0C">
        <w:tc>
          <w:tcPr>
            <w:tcW w:w="601" w:type="dxa"/>
            <w:vAlign w:val="center"/>
          </w:tcPr>
          <w:p w:rsidR="00664B0C" w:rsidRPr="00A150D6" w:rsidRDefault="00664B0C" w:rsidP="00A150D6">
            <w:pPr>
              <w:ind w:left="57" w:right="57"/>
              <w:rPr>
                <w:rFonts w:ascii="Verdana" w:hAnsi="Verdana" w:cs="Verdana"/>
                <w:sz w:val="16"/>
                <w:szCs w:val="16"/>
                <w:lang w:val="pl-PL"/>
              </w:rPr>
            </w:pPr>
            <w:r w:rsidRPr="00A150D6">
              <w:rPr>
                <w:rFonts w:ascii="Verdana" w:hAnsi="Verdana" w:cs="Verdana"/>
                <w:sz w:val="16"/>
                <w:szCs w:val="16"/>
                <w:lang w:val="pl-PL"/>
              </w:rPr>
              <w:t>2</w:t>
            </w:r>
          </w:p>
        </w:tc>
        <w:tc>
          <w:tcPr>
            <w:tcW w:w="1370" w:type="dxa"/>
            <w:vAlign w:val="center"/>
          </w:tcPr>
          <w:p w:rsidR="00664B0C" w:rsidRPr="00A150D6" w:rsidRDefault="00664B0C" w:rsidP="00A150D6">
            <w:pPr>
              <w:ind w:left="57" w:right="57"/>
              <w:rPr>
                <w:rFonts w:ascii="Verdana" w:hAnsi="Verdana" w:cs="Verdana"/>
                <w:sz w:val="16"/>
                <w:szCs w:val="16"/>
                <w:lang w:val="pl-PL"/>
              </w:rPr>
            </w:pPr>
            <w:r w:rsidRPr="00A150D6">
              <w:rPr>
                <w:rFonts w:ascii="Verdana" w:hAnsi="Verdana" w:cs="Verdana"/>
                <w:sz w:val="16"/>
                <w:szCs w:val="16"/>
                <w:lang w:val="pl-PL"/>
              </w:rPr>
              <w:t>Sprawdzenie wyników</w:t>
            </w:r>
          </w:p>
        </w:tc>
        <w:tc>
          <w:tcPr>
            <w:tcW w:w="2135" w:type="dxa"/>
            <w:vMerge/>
            <w:vAlign w:val="center"/>
          </w:tcPr>
          <w:p w:rsidR="00664B0C" w:rsidRPr="00A150D6" w:rsidRDefault="00664B0C" w:rsidP="00A150D6">
            <w:pPr>
              <w:ind w:left="57" w:right="57"/>
              <w:rPr>
                <w:rFonts w:ascii="Verdana" w:hAnsi="Verdana" w:cs="Verdana"/>
                <w:sz w:val="16"/>
                <w:szCs w:val="16"/>
                <w:lang w:val="pl-PL"/>
              </w:rPr>
            </w:pPr>
          </w:p>
        </w:tc>
        <w:tc>
          <w:tcPr>
            <w:tcW w:w="3393" w:type="dxa"/>
            <w:vAlign w:val="center"/>
          </w:tcPr>
          <w:p w:rsidR="00664B0C" w:rsidRPr="00A150D6" w:rsidRDefault="00664B0C" w:rsidP="00A150D6">
            <w:pPr>
              <w:ind w:left="57" w:right="57"/>
              <w:rPr>
                <w:rFonts w:ascii="Verdana" w:hAnsi="Verdana" w:cs="Verdana"/>
                <w:sz w:val="16"/>
                <w:szCs w:val="16"/>
                <w:lang w:val="pl-PL"/>
              </w:rPr>
            </w:pPr>
            <w:r w:rsidRPr="00A150D6">
              <w:rPr>
                <w:rFonts w:ascii="Verdana" w:hAnsi="Verdana" w:cs="Verdana"/>
                <w:sz w:val="16"/>
                <w:szCs w:val="16"/>
                <w:lang w:val="pl-PL"/>
              </w:rPr>
              <w:t>przeprowadzić uniwersalnymi przyrządami pomiarowymi lub sprawdzianami</w:t>
            </w:r>
          </w:p>
        </w:tc>
        <w:tc>
          <w:tcPr>
            <w:tcW w:w="1843" w:type="dxa"/>
            <w:vMerge/>
            <w:vAlign w:val="center"/>
          </w:tcPr>
          <w:p w:rsidR="00664B0C" w:rsidRPr="00A150D6" w:rsidRDefault="00664B0C" w:rsidP="00A150D6">
            <w:pPr>
              <w:ind w:left="57" w:right="57"/>
              <w:rPr>
                <w:rFonts w:ascii="Verdana" w:hAnsi="Verdana" w:cs="Verdana"/>
                <w:sz w:val="16"/>
                <w:szCs w:val="16"/>
                <w:lang w:val="pl-PL"/>
              </w:rPr>
            </w:pPr>
          </w:p>
        </w:tc>
      </w:tr>
    </w:tbl>
    <w:p w:rsidR="00A150D6" w:rsidRPr="00A150D6" w:rsidRDefault="00A150D6" w:rsidP="00A150D6">
      <w:pPr>
        <w:pStyle w:val="Nagwek3"/>
        <w:tabs>
          <w:tab w:val="left" w:pos="851"/>
        </w:tabs>
        <w:ind w:left="1560" w:right="208" w:hanging="709"/>
        <w:jc w:val="both"/>
        <w:rPr>
          <w:b/>
          <w:bCs/>
          <w:color w:val="auto"/>
          <w:lang w:val="pl-PL"/>
        </w:rPr>
      </w:pPr>
      <w:r w:rsidRPr="00A150D6">
        <w:rPr>
          <w:b/>
          <w:bCs/>
          <w:color w:val="auto"/>
          <w:lang w:val="pl-PL"/>
        </w:rPr>
        <w:t>Kontrola w czasie wykonywania robót</w:t>
      </w:r>
    </w:p>
    <w:p w:rsidR="00A150D6" w:rsidRPr="00A150D6" w:rsidRDefault="00A150D6" w:rsidP="00664B0C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A150D6">
        <w:rPr>
          <w:rFonts w:ascii="Verdana" w:hAnsi="Verdana" w:cs="Verdana"/>
          <w:sz w:val="18"/>
          <w:szCs w:val="18"/>
          <w:lang w:val="pl-PL"/>
        </w:rPr>
        <w:t>W czasie wykonywania robót należy zbadać:</w:t>
      </w:r>
    </w:p>
    <w:p w:rsidR="00A150D6" w:rsidRPr="00A150D6" w:rsidRDefault="00A150D6" w:rsidP="00A150D6">
      <w:pPr>
        <w:pStyle w:val="Akapitzlist"/>
        <w:numPr>
          <w:ilvl w:val="0"/>
          <w:numId w:val="34"/>
        </w:numPr>
        <w:spacing w:before="60" w:after="60" w:line="276" w:lineRule="auto"/>
        <w:ind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A150D6">
        <w:rPr>
          <w:rFonts w:ascii="Verdana" w:hAnsi="Verdana" w:cs="Verdana"/>
          <w:sz w:val="18"/>
          <w:szCs w:val="18"/>
          <w:lang w:val="pl-PL"/>
        </w:rPr>
        <w:t>zgodność wykonania bariery ochronnej z zatwierdzonym przez Zamawiającego Projektem Organizacji Ruchu (lokalizacja, wymiary),</w:t>
      </w:r>
    </w:p>
    <w:p w:rsidR="00A150D6" w:rsidRPr="00A150D6" w:rsidRDefault="00A150D6" w:rsidP="00A150D6">
      <w:pPr>
        <w:pStyle w:val="Akapitzlist"/>
        <w:numPr>
          <w:ilvl w:val="0"/>
          <w:numId w:val="34"/>
        </w:numPr>
        <w:spacing w:before="60" w:after="60" w:line="276" w:lineRule="auto"/>
        <w:ind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A150D6">
        <w:rPr>
          <w:rFonts w:ascii="Verdana" w:hAnsi="Verdana" w:cs="Verdana"/>
          <w:sz w:val="18"/>
          <w:szCs w:val="18"/>
          <w:lang w:val="pl-PL"/>
        </w:rPr>
        <w:t>zachowanie dopuszczalnych odchyłek wymiarów zgodnie z katalogiem (informacją) producenta barier,</w:t>
      </w:r>
    </w:p>
    <w:p w:rsidR="00A150D6" w:rsidRPr="00A150D6" w:rsidRDefault="00A150D6" w:rsidP="00A150D6">
      <w:pPr>
        <w:pStyle w:val="Akapitzlist"/>
        <w:numPr>
          <w:ilvl w:val="0"/>
          <w:numId w:val="34"/>
        </w:numPr>
        <w:spacing w:before="60" w:after="60" w:line="276" w:lineRule="auto"/>
        <w:ind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A150D6">
        <w:rPr>
          <w:rFonts w:ascii="Verdana" w:hAnsi="Verdana" w:cs="Verdana"/>
          <w:sz w:val="18"/>
          <w:szCs w:val="18"/>
          <w:lang w:val="pl-PL"/>
        </w:rPr>
        <w:t>prawidłowość montażu bariery ochronnej, poprawność wykonania ew. robót betonowych,</w:t>
      </w:r>
    </w:p>
    <w:p w:rsidR="00A150D6" w:rsidRPr="00A150D6" w:rsidRDefault="00A150D6" w:rsidP="00A150D6">
      <w:pPr>
        <w:pStyle w:val="Akapitzlist"/>
        <w:numPr>
          <w:ilvl w:val="0"/>
          <w:numId w:val="34"/>
        </w:numPr>
        <w:spacing w:before="60" w:after="60" w:line="276" w:lineRule="auto"/>
        <w:ind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A150D6">
        <w:rPr>
          <w:rFonts w:ascii="Verdana" w:hAnsi="Verdana" w:cs="Verdana"/>
          <w:sz w:val="18"/>
          <w:szCs w:val="18"/>
          <w:lang w:val="pl-PL"/>
        </w:rPr>
        <w:t>poprawność umieszczania elementów odblaskowych</w:t>
      </w:r>
    </w:p>
    <w:p w:rsidR="00E1772B" w:rsidRPr="00A150D6" w:rsidRDefault="00E1772B" w:rsidP="00B1225E">
      <w:pPr>
        <w:pStyle w:val="Nagwek1"/>
        <w:keepNext w:val="0"/>
        <w:spacing w:before="240"/>
        <w:ind w:left="1418" w:right="208" w:hanging="567"/>
        <w:jc w:val="both"/>
        <w:rPr>
          <w:rFonts w:ascii="Verdana" w:hAnsi="Verdana"/>
          <w:color w:val="auto"/>
          <w:sz w:val="18"/>
          <w:szCs w:val="18"/>
          <w:lang w:val="pl-PL"/>
        </w:rPr>
      </w:pPr>
      <w:bookmarkStart w:id="28" w:name="_Toc74807339"/>
      <w:bookmarkEnd w:id="24"/>
      <w:r w:rsidRPr="00A150D6">
        <w:rPr>
          <w:rFonts w:ascii="Verdana" w:hAnsi="Verdana"/>
          <w:color w:val="auto"/>
          <w:sz w:val="18"/>
          <w:szCs w:val="18"/>
          <w:lang w:val="pl-PL"/>
        </w:rPr>
        <w:t>Obmiar robót</w:t>
      </w:r>
      <w:bookmarkEnd w:id="28"/>
    </w:p>
    <w:p w:rsidR="00A150D6" w:rsidRPr="00A150D6" w:rsidRDefault="00A150D6" w:rsidP="00A150D6">
      <w:pPr>
        <w:pStyle w:val="Nagwek2"/>
        <w:keepNext w:val="0"/>
        <w:ind w:left="1418" w:right="208" w:hanging="567"/>
        <w:jc w:val="both"/>
        <w:rPr>
          <w:lang w:val="pl-PL"/>
        </w:rPr>
      </w:pPr>
      <w:bookmarkStart w:id="29" w:name="_Toc7516013"/>
      <w:bookmarkStart w:id="30" w:name="_Toc35498804"/>
      <w:bookmarkStart w:id="31" w:name="_Toc74291325"/>
      <w:bookmarkStart w:id="32" w:name="_Toc74807340"/>
      <w:r w:rsidRPr="00A150D6">
        <w:rPr>
          <w:lang w:val="pl-PL"/>
        </w:rPr>
        <w:t>Ogólne zasady obmiaru robót</w:t>
      </w:r>
      <w:bookmarkEnd w:id="29"/>
      <w:bookmarkEnd w:id="30"/>
      <w:bookmarkEnd w:id="31"/>
      <w:bookmarkEnd w:id="32"/>
    </w:p>
    <w:p w:rsidR="00A150D6" w:rsidRPr="00A150D6" w:rsidRDefault="00A150D6" w:rsidP="00A150D6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A150D6">
        <w:rPr>
          <w:rFonts w:ascii="Verdana" w:hAnsi="Verdana" w:cs="Verdana"/>
          <w:sz w:val="18"/>
          <w:szCs w:val="18"/>
          <w:lang w:val="pl-PL"/>
        </w:rPr>
        <w:t>Ogólne zasady obmiaru robót podano w D-M-00.00.00 „Wymagania ogólne”.</w:t>
      </w:r>
    </w:p>
    <w:p w:rsidR="00E1772B" w:rsidRPr="00A150D6" w:rsidRDefault="00E1772B" w:rsidP="00B1225E">
      <w:pPr>
        <w:pStyle w:val="Nagwek1"/>
        <w:keepNext w:val="0"/>
        <w:spacing w:before="240"/>
        <w:ind w:left="1418" w:right="208" w:hanging="567"/>
        <w:jc w:val="both"/>
        <w:rPr>
          <w:rFonts w:ascii="Verdana" w:hAnsi="Verdana"/>
          <w:color w:val="auto"/>
          <w:sz w:val="18"/>
          <w:szCs w:val="18"/>
          <w:lang w:val="pl-PL"/>
        </w:rPr>
      </w:pPr>
      <w:bookmarkStart w:id="33" w:name="_Toc74807341"/>
      <w:r w:rsidRPr="00A150D6">
        <w:rPr>
          <w:rFonts w:ascii="Verdana" w:hAnsi="Verdana"/>
          <w:color w:val="auto"/>
          <w:sz w:val="18"/>
          <w:szCs w:val="18"/>
          <w:lang w:val="pl-PL"/>
        </w:rPr>
        <w:t>Odbiór robót</w:t>
      </w:r>
      <w:bookmarkEnd w:id="33"/>
    </w:p>
    <w:p w:rsidR="00A150D6" w:rsidRPr="00A150D6" w:rsidRDefault="00A150D6" w:rsidP="00A150D6">
      <w:pPr>
        <w:pStyle w:val="Nagwek2"/>
        <w:keepNext w:val="0"/>
        <w:ind w:left="1418" w:right="208" w:hanging="567"/>
        <w:jc w:val="both"/>
        <w:rPr>
          <w:lang w:val="pl-PL"/>
        </w:rPr>
      </w:pPr>
      <w:bookmarkStart w:id="34" w:name="_Toc7516016"/>
      <w:bookmarkStart w:id="35" w:name="_Toc35498806"/>
      <w:bookmarkStart w:id="36" w:name="_Toc74291327"/>
      <w:bookmarkStart w:id="37" w:name="_Toc74807342"/>
      <w:r w:rsidRPr="00A150D6">
        <w:rPr>
          <w:lang w:val="pl-PL"/>
        </w:rPr>
        <w:t>Ogólne zasady odbioru robót</w:t>
      </w:r>
      <w:bookmarkEnd w:id="34"/>
      <w:bookmarkEnd w:id="35"/>
      <w:bookmarkEnd w:id="36"/>
      <w:bookmarkEnd w:id="37"/>
    </w:p>
    <w:p w:rsidR="00A150D6" w:rsidRPr="00A150D6" w:rsidRDefault="00A150D6" w:rsidP="00A150D6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A150D6">
        <w:rPr>
          <w:rFonts w:ascii="Verdana" w:hAnsi="Verdana" w:cs="Verdana"/>
          <w:sz w:val="18"/>
          <w:szCs w:val="18"/>
          <w:lang w:val="pl-PL"/>
        </w:rPr>
        <w:t>Ogólne zasady odbioru robót podano w D-M-00.00.00 „Wymagania ogólne”.</w:t>
      </w:r>
    </w:p>
    <w:p w:rsidR="00E1772B" w:rsidRPr="00A150D6" w:rsidRDefault="00E1772B" w:rsidP="00B1225E">
      <w:pPr>
        <w:pStyle w:val="Nagwek1"/>
        <w:keepNext w:val="0"/>
        <w:spacing w:before="240"/>
        <w:ind w:left="1418" w:right="208" w:hanging="567"/>
        <w:jc w:val="both"/>
        <w:rPr>
          <w:rFonts w:ascii="Verdana" w:hAnsi="Verdana"/>
          <w:color w:val="auto"/>
          <w:sz w:val="18"/>
          <w:szCs w:val="18"/>
          <w:lang w:val="pl-PL"/>
        </w:rPr>
      </w:pPr>
      <w:bookmarkStart w:id="38" w:name="_Toc74807343"/>
      <w:r w:rsidRPr="00A150D6">
        <w:rPr>
          <w:rFonts w:ascii="Verdana" w:hAnsi="Verdana"/>
          <w:color w:val="auto"/>
          <w:sz w:val="18"/>
          <w:szCs w:val="18"/>
          <w:lang w:val="pl-PL"/>
        </w:rPr>
        <w:t>Podstawa płatności</w:t>
      </w:r>
      <w:bookmarkEnd w:id="38"/>
    </w:p>
    <w:p w:rsidR="00A150D6" w:rsidRPr="00A150D6" w:rsidRDefault="00A150D6" w:rsidP="00A150D6">
      <w:pPr>
        <w:pStyle w:val="Nagwek2"/>
        <w:keepNext w:val="0"/>
        <w:ind w:left="1418" w:right="208" w:hanging="567"/>
        <w:jc w:val="both"/>
        <w:rPr>
          <w:lang w:val="pl-PL"/>
        </w:rPr>
      </w:pPr>
      <w:bookmarkStart w:id="39" w:name="_Toc7516019"/>
      <w:bookmarkStart w:id="40" w:name="_Toc35498808"/>
      <w:bookmarkStart w:id="41" w:name="_Toc74291329"/>
      <w:bookmarkStart w:id="42" w:name="_Toc74807344"/>
      <w:r w:rsidRPr="00A150D6">
        <w:rPr>
          <w:lang w:val="pl-PL"/>
        </w:rPr>
        <w:t>Ogólne ustalenia dotyczące podstawy płatności</w:t>
      </w:r>
      <w:bookmarkEnd w:id="39"/>
      <w:bookmarkEnd w:id="40"/>
      <w:bookmarkEnd w:id="41"/>
      <w:bookmarkEnd w:id="42"/>
    </w:p>
    <w:p w:rsidR="00A150D6" w:rsidRPr="00A150D6" w:rsidRDefault="00A150D6" w:rsidP="00A150D6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A150D6">
        <w:rPr>
          <w:rFonts w:ascii="Verdana" w:hAnsi="Verdana" w:cs="Verdana"/>
          <w:sz w:val="18"/>
          <w:szCs w:val="18"/>
          <w:lang w:val="pl-PL"/>
        </w:rPr>
        <w:t>Ogólne ustalenia dotyczące podstawy płatności podano w D-M-00.00.00 „Wymagania ogólne”.</w:t>
      </w:r>
    </w:p>
    <w:p w:rsidR="00E1772B" w:rsidRPr="00A150D6" w:rsidRDefault="00E1772B" w:rsidP="00B1225E">
      <w:pPr>
        <w:pStyle w:val="Nagwek1"/>
        <w:keepNext w:val="0"/>
        <w:spacing w:before="240"/>
        <w:ind w:left="1418" w:right="208" w:hanging="567"/>
        <w:jc w:val="both"/>
        <w:rPr>
          <w:rFonts w:ascii="Verdana" w:hAnsi="Verdana"/>
          <w:color w:val="auto"/>
          <w:sz w:val="18"/>
          <w:szCs w:val="18"/>
          <w:lang w:val="pl-PL"/>
        </w:rPr>
      </w:pPr>
      <w:bookmarkStart w:id="43" w:name="_Toc74807345"/>
      <w:r w:rsidRPr="00A150D6">
        <w:rPr>
          <w:rFonts w:ascii="Verdana" w:hAnsi="Verdana"/>
          <w:color w:val="auto"/>
          <w:sz w:val="18"/>
          <w:szCs w:val="18"/>
          <w:lang w:val="pl-PL"/>
        </w:rPr>
        <w:t>Przepisy związane</w:t>
      </w:r>
      <w:bookmarkEnd w:id="43"/>
    </w:p>
    <w:p w:rsidR="00A150D6" w:rsidRPr="00A150D6" w:rsidRDefault="00A150D6" w:rsidP="00A150D6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A150D6">
        <w:rPr>
          <w:rFonts w:ascii="Verdana" w:hAnsi="Verdana" w:cs="Verdana"/>
          <w:sz w:val="18"/>
          <w:szCs w:val="18"/>
          <w:lang w:val="pl-PL"/>
        </w:rPr>
        <w:t>Dla zaprojektowania i wykonania robót objętych zamówieniem obowiązują odpowiednie przepisy prawa wymienione w części informacyjnej Programu funkcjonalno-użytkowego „Przepisy prawa i normy związane z projektowaniem i wykonaniem zamierzenia budowlanego”.</w:t>
      </w:r>
    </w:p>
    <w:p w:rsidR="00E1772B" w:rsidRPr="00A150D6" w:rsidRDefault="00E1772B" w:rsidP="00B1225E">
      <w:pPr>
        <w:pStyle w:val="Nagwek2"/>
        <w:keepNext w:val="0"/>
        <w:tabs>
          <w:tab w:val="num" w:pos="680"/>
        </w:tabs>
        <w:ind w:left="1418" w:right="208" w:hanging="567"/>
        <w:jc w:val="both"/>
        <w:rPr>
          <w:lang w:val="pl-PL"/>
        </w:rPr>
      </w:pPr>
      <w:bookmarkStart w:id="44" w:name="_Toc74807346"/>
      <w:r w:rsidRPr="00A150D6">
        <w:rPr>
          <w:lang w:val="pl-PL"/>
        </w:rPr>
        <w:t>Normy</w:t>
      </w:r>
      <w:bookmarkEnd w:id="44"/>
    </w:p>
    <w:p w:rsidR="00A150D6" w:rsidRPr="00A150D6" w:rsidRDefault="00A150D6" w:rsidP="00B1225E">
      <w:pPr>
        <w:pStyle w:val="Akapitzlist"/>
        <w:numPr>
          <w:ilvl w:val="0"/>
          <w:numId w:val="4"/>
        </w:numPr>
        <w:spacing w:before="60" w:after="60" w:line="276" w:lineRule="auto"/>
        <w:ind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A150D6">
        <w:rPr>
          <w:rFonts w:ascii="Verdana" w:hAnsi="Verdana" w:cs="Verdana"/>
          <w:sz w:val="18"/>
          <w:szCs w:val="18"/>
          <w:lang w:val="pl-PL"/>
        </w:rPr>
        <w:t>PN-EN 206 Beton – Wymagania, właściwości, produkcja i zgodność</w:t>
      </w:r>
    </w:p>
    <w:p w:rsidR="00A150D6" w:rsidRPr="00A150D6" w:rsidRDefault="00A150D6" w:rsidP="00B1225E">
      <w:pPr>
        <w:pStyle w:val="Akapitzlist"/>
        <w:numPr>
          <w:ilvl w:val="0"/>
          <w:numId w:val="4"/>
        </w:numPr>
        <w:spacing w:before="60" w:after="60" w:line="276" w:lineRule="auto"/>
        <w:ind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A150D6">
        <w:rPr>
          <w:rFonts w:ascii="Verdana" w:hAnsi="Verdana" w:cs="Verdana"/>
          <w:sz w:val="18"/>
          <w:szCs w:val="18"/>
          <w:lang w:val="pl-PL"/>
        </w:rPr>
        <w:t xml:space="preserve">PN-EN 13043 Kruszywa do mieszanek bitumicznych i powierzchniowych utrwaleń </w:t>
      </w:r>
      <w:r w:rsidRPr="00A150D6">
        <w:rPr>
          <w:rFonts w:ascii="Verdana" w:hAnsi="Verdana" w:cs="Verdana"/>
          <w:sz w:val="18"/>
          <w:szCs w:val="18"/>
          <w:lang w:val="pl-PL"/>
        </w:rPr>
        <w:lastRenderedPageBreak/>
        <w:t>stosowanych na drogach, lotniskach i innych powierzchniach przeznaczonych do ruchu</w:t>
      </w:r>
    </w:p>
    <w:p w:rsidR="00A150D6" w:rsidRPr="00A150D6" w:rsidRDefault="00A150D6" w:rsidP="00B1225E">
      <w:pPr>
        <w:pStyle w:val="Akapitzlist"/>
        <w:numPr>
          <w:ilvl w:val="0"/>
          <w:numId w:val="4"/>
        </w:numPr>
        <w:spacing w:before="60" w:after="60" w:line="276" w:lineRule="auto"/>
        <w:ind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A150D6">
        <w:rPr>
          <w:rFonts w:ascii="Verdana" w:hAnsi="Verdana" w:cs="Verdana"/>
          <w:sz w:val="18"/>
          <w:szCs w:val="18"/>
          <w:lang w:val="pl-PL"/>
        </w:rPr>
        <w:t>PN-EN 197-1 Cement. Część 1: Skład, wymagania i kryteria zgodności dotyczące cementu powszechnego użytku</w:t>
      </w:r>
    </w:p>
    <w:p w:rsidR="002B4425" w:rsidRPr="00A150D6" w:rsidRDefault="00A150D6" w:rsidP="00B1225E">
      <w:pPr>
        <w:pStyle w:val="Akapitzlist"/>
        <w:numPr>
          <w:ilvl w:val="0"/>
          <w:numId w:val="4"/>
        </w:numPr>
        <w:spacing w:before="60" w:after="60" w:line="276" w:lineRule="auto"/>
        <w:ind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A150D6">
        <w:rPr>
          <w:rFonts w:ascii="Verdana" w:hAnsi="Verdana" w:cs="Verdana"/>
          <w:sz w:val="18"/>
          <w:szCs w:val="18"/>
          <w:lang w:val="pl-PL"/>
        </w:rPr>
        <w:t>PN-EN 1317-1Systemy ograniczające drogę Część 1: Terminologia i ogólne kryteria metod badań )oryg.)</w:t>
      </w:r>
    </w:p>
    <w:p w:rsidR="00A150D6" w:rsidRPr="00A150D6" w:rsidRDefault="00A150D6" w:rsidP="00B1225E">
      <w:pPr>
        <w:pStyle w:val="Akapitzlist"/>
        <w:numPr>
          <w:ilvl w:val="0"/>
          <w:numId w:val="4"/>
        </w:numPr>
        <w:spacing w:before="60" w:after="60" w:line="276" w:lineRule="auto"/>
        <w:ind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A150D6">
        <w:rPr>
          <w:rFonts w:ascii="Verdana" w:hAnsi="Verdana" w:cs="Verdana"/>
          <w:sz w:val="18"/>
          <w:szCs w:val="18"/>
          <w:lang w:val="pl-PL"/>
        </w:rPr>
        <w:t>PN-EN 1317-2 Systemy ograniczające drogę Część 2: Klasy działania, kryteria przyjęcia badań zderzeniowych i metody badań barier ochronnych i balustrad (oryg.)</w:t>
      </w:r>
    </w:p>
    <w:p w:rsidR="00A150D6" w:rsidRPr="00A150D6" w:rsidRDefault="00A150D6" w:rsidP="00B1225E">
      <w:pPr>
        <w:pStyle w:val="Akapitzlist"/>
        <w:numPr>
          <w:ilvl w:val="0"/>
          <w:numId w:val="4"/>
        </w:numPr>
        <w:spacing w:before="60" w:after="60" w:line="276" w:lineRule="auto"/>
        <w:ind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A150D6">
        <w:rPr>
          <w:rFonts w:ascii="Verdana" w:hAnsi="Verdana" w:cs="Verdana"/>
          <w:sz w:val="18"/>
          <w:szCs w:val="18"/>
          <w:lang w:val="pl-PL"/>
        </w:rPr>
        <w:t xml:space="preserve">PN-EN 1317-5+A2 </w:t>
      </w:r>
      <w:proofErr w:type="spellStart"/>
      <w:r w:rsidRPr="00A150D6">
        <w:rPr>
          <w:rFonts w:ascii="Verdana" w:hAnsi="Verdana" w:cs="Verdana"/>
          <w:sz w:val="18"/>
          <w:szCs w:val="18"/>
          <w:lang w:val="pl-PL"/>
        </w:rPr>
        <w:t>Sytemy</w:t>
      </w:r>
      <w:proofErr w:type="spellEnd"/>
      <w:r w:rsidRPr="00A150D6">
        <w:rPr>
          <w:rFonts w:ascii="Verdana" w:hAnsi="Verdana" w:cs="Verdana"/>
          <w:sz w:val="18"/>
          <w:szCs w:val="18"/>
          <w:lang w:val="pl-PL"/>
        </w:rPr>
        <w:t xml:space="preserve"> ograniczające drogę Część 5: Wymagania w odniesieniu do wyrobów i ocena zgodności dotycząca systemów powstrzymujących pojazd (oryg.)</w:t>
      </w:r>
    </w:p>
    <w:p w:rsidR="00A150D6" w:rsidRPr="00A150D6" w:rsidRDefault="00A150D6" w:rsidP="00B1225E">
      <w:pPr>
        <w:pStyle w:val="Akapitzlist"/>
        <w:numPr>
          <w:ilvl w:val="0"/>
          <w:numId w:val="4"/>
        </w:numPr>
        <w:spacing w:before="60" w:after="60" w:line="276" w:lineRule="auto"/>
        <w:ind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A150D6">
        <w:rPr>
          <w:rFonts w:ascii="Verdana" w:hAnsi="Verdana" w:cs="Verdana"/>
          <w:sz w:val="18"/>
          <w:szCs w:val="18"/>
          <w:lang w:val="pl-PL"/>
        </w:rPr>
        <w:t>PN-EN ISO 1461 Powłoki cynkowe nanoszone na wyroby stalowe i żeliwne metodą zanurzeniową. Wymagania i metody badań</w:t>
      </w:r>
    </w:p>
    <w:p w:rsidR="00084355" w:rsidRPr="00A150D6" w:rsidRDefault="00084355" w:rsidP="00B1225E">
      <w:pPr>
        <w:pStyle w:val="Nagwek2"/>
        <w:keepNext w:val="0"/>
        <w:tabs>
          <w:tab w:val="num" w:pos="680"/>
        </w:tabs>
        <w:ind w:left="1418" w:right="208" w:hanging="567"/>
        <w:jc w:val="both"/>
        <w:rPr>
          <w:lang w:val="pl-PL"/>
        </w:rPr>
      </w:pPr>
      <w:bookmarkStart w:id="45" w:name="_Toc74807347"/>
      <w:r w:rsidRPr="00A150D6">
        <w:rPr>
          <w:lang w:val="pl-PL"/>
        </w:rPr>
        <w:t>Inne dokumenty</w:t>
      </w:r>
      <w:bookmarkEnd w:id="45"/>
    </w:p>
    <w:p w:rsidR="00A150D6" w:rsidRPr="00A150D6" w:rsidRDefault="00A150D6" w:rsidP="00BD4987">
      <w:pPr>
        <w:pStyle w:val="Akapitzlist"/>
        <w:numPr>
          <w:ilvl w:val="0"/>
          <w:numId w:val="15"/>
        </w:numPr>
        <w:spacing w:before="60" w:after="60" w:line="276" w:lineRule="auto"/>
        <w:ind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A150D6">
        <w:rPr>
          <w:rFonts w:ascii="Verdana" w:hAnsi="Verdana" w:cs="Verdana"/>
          <w:sz w:val="18"/>
          <w:szCs w:val="18"/>
          <w:lang w:val="pl-PL"/>
        </w:rPr>
        <w:t>Wytyczne stosowania drogowych barier ochronnych na drogach krajowych wprowadzone Zarządzeniem nr 31 Generalnego Dyrektora Dróg Krajowych i Autostrad z dnia 23 kwietnia 2010 roku.</w:t>
      </w:r>
    </w:p>
    <w:p w:rsidR="00BD4987" w:rsidRPr="00A150D6" w:rsidRDefault="00A150D6" w:rsidP="00BD4987">
      <w:pPr>
        <w:pStyle w:val="Akapitzlist"/>
        <w:numPr>
          <w:ilvl w:val="0"/>
          <w:numId w:val="15"/>
        </w:numPr>
        <w:spacing w:before="60" w:after="60" w:line="276" w:lineRule="auto"/>
        <w:ind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A150D6">
        <w:rPr>
          <w:rFonts w:ascii="Verdana" w:hAnsi="Verdana" w:cs="Verdana"/>
          <w:sz w:val="18"/>
          <w:szCs w:val="18"/>
          <w:lang w:val="pl-PL"/>
        </w:rPr>
        <w:t>Katalog Drogowych Barier Ochronnych. Producent</w:t>
      </w:r>
    </w:p>
    <w:sectPr w:rsidR="00BD4987" w:rsidRPr="00A150D6" w:rsidSect="00AE772E">
      <w:headerReference w:type="default" r:id="rId8"/>
      <w:footerReference w:type="default" r:id="rId9"/>
      <w:type w:val="continuous"/>
      <w:pgSz w:w="11916" w:h="16848"/>
      <w:pgMar w:top="492" w:right="1143" w:bottom="260" w:left="5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073B" w:rsidRDefault="001B073B" w:rsidP="00334CCE">
      <w:r>
        <w:separator/>
      </w:r>
    </w:p>
  </w:endnote>
  <w:endnote w:type="continuationSeparator" w:id="0">
    <w:p w:rsidR="001B073B" w:rsidRDefault="001B073B" w:rsidP="00334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lgerian">
    <w:altName w:val="Juice ITC"/>
    <w:charset w:val="00"/>
    <w:family w:val="decorative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-Bold">
    <w:altName w:val="Times New Roman"/>
    <w:charset w:val="00"/>
    <w:family w:val="auto"/>
    <w:pitch w:val="variable"/>
    <w:sig w:usb0="8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1B7A" w:rsidRPr="00905A55" w:rsidRDefault="00BA1B7A" w:rsidP="00B16471">
    <w:pPr>
      <w:pStyle w:val="STT"/>
      <w:pBdr>
        <w:top w:val="single" w:sz="4" w:space="1" w:color="auto"/>
      </w:pBdr>
      <w:contextualSpacing w:val="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073B" w:rsidRDefault="001B073B" w:rsidP="00334CCE">
      <w:r>
        <w:separator/>
      </w:r>
    </w:p>
  </w:footnote>
  <w:footnote w:type="continuationSeparator" w:id="0">
    <w:p w:rsidR="001B073B" w:rsidRDefault="001B073B" w:rsidP="00334C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1B7A" w:rsidRPr="001C2A30" w:rsidRDefault="00BA1B7A" w:rsidP="00C21218">
    <w:pPr>
      <w:tabs>
        <w:tab w:val="right" w:pos="10206"/>
      </w:tabs>
      <w:spacing w:line="256" w:lineRule="exact"/>
      <w:ind w:left="713" w:right="-75"/>
      <w:rPr>
        <w:rFonts w:ascii="Times New Roman" w:hAnsi="Times New Roman" w:cs="Times New Roman"/>
        <w:color w:val="010302"/>
        <w:lang w:val="pl-PL"/>
      </w:rPr>
    </w:pPr>
    <w:r>
      <w:rPr>
        <w:rFonts w:ascii="Verdana" w:hAnsi="Verdana" w:cs="Verdana"/>
        <w:color w:val="000000"/>
        <w:sz w:val="16"/>
        <w:szCs w:val="16"/>
        <w:lang w:val="pl-PL"/>
      </w:rPr>
      <w:t>STW</w:t>
    </w:r>
    <w:r w:rsidRPr="001C2A30">
      <w:rPr>
        <w:rFonts w:ascii="Verdana" w:hAnsi="Verdana" w:cs="Verdana"/>
        <w:color w:val="000000"/>
        <w:sz w:val="16"/>
        <w:szCs w:val="16"/>
        <w:lang w:val="pl-PL"/>
      </w:rPr>
      <w:t>iOR</w:t>
    </w:r>
    <w:r w:rsidRPr="001C2A30">
      <w:rPr>
        <w:rFonts w:ascii="Verdana" w:hAnsi="Verdana" w:cs="Verdana"/>
        <w:color w:val="000000"/>
        <w:spacing w:val="-2"/>
        <w:sz w:val="16"/>
        <w:szCs w:val="16"/>
        <w:lang w:val="pl-PL"/>
      </w:rPr>
      <w:t>B</w:t>
    </w:r>
    <w:r w:rsidRPr="001C2A30">
      <w:rPr>
        <w:rFonts w:ascii="Verdana" w:hAnsi="Verdana" w:cs="Verdana"/>
        <w:color w:val="000000"/>
        <w:sz w:val="16"/>
        <w:szCs w:val="16"/>
        <w:lang w:val="pl-PL"/>
      </w:rPr>
      <w:t xml:space="preserve"> D</w:t>
    </w:r>
    <w:r w:rsidRPr="001C2A30">
      <w:rPr>
        <w:rFonts w:ascii="Verdana" w:hAnsi="Verdana" w:cs="Verdana"/>
        <w:color w:val="000000"/>
        <w:spacing w:val="-3"/>
        <w:sz w:val="16"/>
        <w:szCs w:val="16"/>
        <w:lang w:val="pl-PL"/>
      </w:rPr>
      <w:t>-</w:t>
    </w:r>
    <w:r w:rsidR="00C21218">
      <w:rPr>
        <w:rFonts w:ascii="Verdana" w:hAnsi="Verdana" w:cs="Verdana"/>
        <w:color w:val="000000"/>
        <w:sz w:val="16"/>
        <w:szCs w:val="16"/>
        <w:lang w:val="pl-PL"/>
      </w:rPr>
      <w:t>07.0</w:t>
    </w:r>
    <w:r w:rsidR="00B1225E">
      <w:rPr>
        <w:rFonts w:ascii="Verdana" w:hAnsi="Verdana" w:cs="Verdana"/>
        <w:color w:val="000000"/>
        <w:sz w:val="16"/>
        <w:szCs w:val="16"/>
        <w:lang w:val="pl-PL"/>
      </w:rPr>
      <w:t>5</w:t>
    </w:r>
    <w:r w:rsidRPr="001C2A30">
      <w:rPr>
        <w:rFonts w:ascii="Verdana" w:hAnsi="Verdana" w:cs="Verdana"/>
        <w:color w:val="000000"/>
        <w:spacing w:val="-3"/>
        <w:sz w:val="16"/>
        <w:szCs w:val="16"/>
        <w:lang w:val="pl-PL"/>
      </w:rPr>
      <w:t>.</w:t>
    </w:r>
    <w:r w:rsidRPr="001C2A30">
      <w:rPr>
        <w:rFonts w:ascii="Verdana" w:hAnsi="Verdana" w:cs="Verdana"/>
        <w:color w:val="000000"/>
        <w:sz w:val="16"/>
        <w:szCs w:val="16"/>
        <w:lang w:val="pl-PL"/>
      </w:rPr>
      <w:t>01</w:t>
    </w:r>
    <w:r w:rsidR="00C21218">
      <w:rPr>
        <w:rFonts w:ascii="Verdana" w:hAnsi="Verdana" w:cs="Verdana"/>
        <w:color w:val="000000"/>
        <w:sz w:val="16"/>
        <w:szCs w:val="16"/>
        <w:lang w:val="pl-PL"/>
      </w:rPr>
      <w:tab/>
    </w:r>
    <w:r w:rsidR="00B1225E">
      <w:rPr>
        <w:rFonts w:ascii="Verdana" w:hAnsi="Verdana" w:cs="Verdana"/>
        <w:color w:val="000000"/>
        <w:sz w:val="16"/>
        <w:szCs w:val="16"/>
        <w:lang w:val="pl-PL"/>
      </w:rPr>
      <w:t>BARIERY OCHRONNE METALOWE</w:t>
    </w:r>
  </w:p>
  <w:p w:rsidR="00BA1B7A" w:rsidRPr="001C109F" w:rsidRDefault="001B073B" w:rsidP="001C109F">
    <w:pPr>
      <w:spacing w:after="54"/>
      <w:rPr>
        <w:rFonts w:ascii="Times New Roman" w:hAnsi="Times New Roman"/>
        <w:color w:val="000000" w:themeColor="text1"/>
        <w:sz w:val="24"/>
        <w:szCs w:val="24"/>
        <w:lang w:val="pl-PL"/>
      </w:rPr>
    </w:pPr>
    <w:r>
      <w:rPr>
        <w:noProof/>
        <w:lang w:val="pl-PL" w:eastAsia="pl-PL"/>
      </w:rPr>
      <w:pict>
        <v:shape id="Freeform 104" o:spid="_x0000_s2050" style="position:absolute;margin-left:62.4pt;margin-top:.7pt;width:477.95pt;height:1.4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69838,18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" path="m,18288r6069838,l6069838,,,,,18288xe" fillcolor="black" stroked="f" strokeweight="1pt">
          <v:path arrowok="t"/>
          <w10:wrap anchorx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B2FD5"/>
    <w:multiLevelType w:val="hybridMultilevel"/>
    <w:tmpl w:val="90B88988"/>
    <w:name w:val="WW8Num182"/>
    <w:lvl w:ilvl="0" w:tplc="25021DF2">
      <w:start w:val="1"/>
      <w:numFmt w:val="bullet"/>
      <w:lvlText w:val="­"/>
      <w:lvlJc w:val="left"/>
      <w:pPr>
        <w:tabs>
          <w:tab w:val="num" w:pos="397"/>
        </w:tabs>
        <w:ind w:left="397" w:hanging="397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DD80DA4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CF5300"/>
    <w:multiLevelType w:val="multilevel"/>
    <w:tmpl w:val="C6A6718C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128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b/>
        <w:bCs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b/>
        <w:bCs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BAF64F8"/>
    <w:multiLevelType w:val="hybridMultilevel"/>
    <w:tmpl w:val="A058E37E"/>
    <w:lvl w:ilvl="0" w:tplc="FF6EA62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138F7C0C"/>
    <w:multiLevelType w:val="hybridMultilevel"/>
    <w:tmpl w:val="5A783D3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146A503F"/>
    <w:multiLevelType w:val="hybridMultilevel"/>
    <w:tmpl w:val="9A82DEE6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2D7512C4"/>
    <w:multiLevelType w:val="hybridMultilevel"/>
    <w:tmpl w:val="2584C196"/>
    <w:lvl w:ilvl="0" w:tplc="FF6EA62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2E692BC7"/>
    <w:multiLevelType w:val="hybridMultilevel"/>
    <w:tmpl w:val="35D22A16"/>
    <w:lvl w:ilvl="0" w:tplc="FF6EA62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3BB95D65"/>
    <w:multiLevelType w:val="hybridMultilevel"/>
    <w:tmpl w:val="7A74429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3CBE012E"/>
    <w:multiLevelType w:val="hybridMultilevel"/>
    <w:tmpl w:val="D646DD5E"/>
    <w:lvl w:ilvl="0" w:tplc="FF6EA62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44DA277C"/>
    <w:multiLevelType w:val="hybridMultilevel"/>
    <w:tmpl w:val="F6748930"/>
    <w:lvl w:ilvl="0" w:tplc="FF6EA62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465F7001"/>
    <w:multiLevelType w:val="hybridMultilevel"/>
    <w:tmpl w:val="7A74429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4D7A0182"/>
    <w:multiLevelType w:val="hybridMultilevel"/>
    <w:tmpl w:val="1F82014E"/>
    <w:lvl w:ilvl="0" w:tplc="FF6EA62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4E8A510F"/>
    <w:multiLevelType w:val="hybridMultilevel"/>
    <w:tmpl w:val="E8C8E6C0"/>
    <w:lvl w:ilvl="0" w:tplc="FF6EA62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4EAE2C45"/>
    <w:multiLevelType w:val="hybridMultilevel"/>
    <w:tmpl w:val="2BA26380"/>
    <w:lvl w:ilvl="0" w:tplc="FF6EA62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4F065739"/>
    <w:multiLevelType w:val="hybridMultilevel"/>
    <w:tmpl w:val="E1E24C40"/>
    <w:lvl w:ilvl="0" w:tplc="FF6EA62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50644F97"/>
    <w:multiLevelType w:val="hybridMultilevel"/>
    <w:tmpl w:val="964A1B2E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 w15:restartNumberingAfterBreak="0">
    <w:nsid w:val="59222E4A"/>
    <w:multiLevelType w:val="multilevel"/>
    <w:tmpl w:val="D4CA03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5C5B62ED"/>
    <w:multiLevelType w:val="hybridMultilevel"/>
    <w:tmpl w:val="E41205A4"/>
    <w:lvl w:ilvl="0" w:tplc="AFA4BBB6">
      <w:start w:val="1"/>
      <w:numFmt w:val="bullet"/>
      <w:pStyle w:val="normalnypunkt"/>
      <w:lvlText w:val="­"/>
      <w:lvlJc w:val="left"/>
      <w:pPr>
        <w:tabs>
          <w:tab w:val="num" w:pos="397"/>
        </w:tabs>
        <w:ind w:left="397" w:hanging="397"/>
      </w:pPr>
      <w:rPr>
        <w:rFonts w:ascii="Courier New" w:hAnsi="Courier New" w:hint="default"/>
      </w:rPr>
    </w:lvl>
    <w:lvl w:ilvl="1" w:tplc="04150003" w:tentative="1">
      <w:start w:val="1"/>
      <w:numFmt w:val="bullet"/>
      <w:pStyle w:val="Nagwek2Pogrubienie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FE687E"/>
    <w:multiLevelType w:val="hybridMultilevel"/>
    <w:tmpl w:val="964A1B2E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66825412"/>
    <w:multiLevelType w:val="hybridMultilevel"/>
    <w:tmpl w:val="E55C95E4"/>
    <w:lvl w:ilvl="0" w:tplc="FF6EA62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669232C7"/>
    <w:multiLevelType w:val="hybridMultilevel"/>
    <w:tmpl w:val="5DCE2E88"/>
    <w:lvl w:ilvl="0" w:tplc="FF6EA62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724629D6"/>
    <w:multiLevelType w:val="hybridMultilevel"/>
    <w:tmpl w:val="84D2F0DC"/>
    <w:lvl w:ilvl="0" w:tplc="FF6EA62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74970F8A"/>
    <w:multiLevelType w:val="hybridMultilevel"/>
    <w:tmpl w:val="B87A90A0"/>
    <w:lvl w:ilvl="0" w:tplc="FF6EA62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77A720DB"/>
    <w:multiLevelType w:val="hybridMultilevel"/>
    <w:tmpl w:val="60CC0F1C"/>
    <w:name w:val="WW8Num1822"/>
    <w:lvl w:ilvl="0" w:tplc="D520BDA4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B34D85"/>
    <w:multiLevelType w:val="hybridMultilevel"/>
    <w:tmpl w:val="62442AA0"/>
    <w:lvl w:ilvl="0" w:tplc="FF6EA62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7"/>
  </w:num>
  <w:num w:numId="3">
    <w:abstractNumId w:val="6"/>
  </w:num>
  <w:num w:numId="4">
    <w:abstractNumId w:val="18"/>
  </w:num>
  <w:num w:numId="5">
    <w:abstractNumId w:val="5"/>
  </w:num>
  <w:num w:numId="6">
    <w:abstractNumId w:val="22"/>
  </w:num>
  <w:num w:numId="7">
    <w:abstractNumId w:val="14"/>
  </w:num>
  <w:num w:numId="8">
    <w:abstractNumId w:val="24"/>
  </w:num>
  <w:num w:numId="9">
    <w:abstractNumId w:val="8"/>
  </w:num>
  <w:num w:numId="10">
    <w:abstractNumId w:val="3"/>
  </w:num>
  <w:num w:numId="11">
    <w:abstractNumId w:val="9"/>
  </w:num>
  <w:num w:numId="12">
    <w:abstractNumId w:val="13"/>
  </w:num>
  <w:num w:numId="13">
    <w:abstractNumId w:val="2"/>
  </w:num>
  <w:num w:numId="14">
    <w:abstractNumId w:val="12"/>
  </w:num>
  <w:num w:numId="15">
    <w:abstractNumId w:val="15"/>
  </w:num>
  <w:num w:numId="16">
    <w:abstractNumId w:val="1"/>
  </w:num>
  <w:num w:numId="17">
    <w:abstractNumId w:val="1"/>
  </w:num>
  <w:num w:numId="18">
    <w:abstractNumId w:val="0"/>
  </w:num>
  <w:num w:numId="19">
    <w:abstractNumId w:val="4"/>
  </w:num>
  <w:num w:numId="20">
    <w:abstractNumId w:val="11"/>
  </w:num>
  <w:num w:numId="21">
    <w:abstractNumId w:val="1"/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1"/>
  </w:num>
  <w:num w:numId="25">
    <w:abstractNumId w:val="19"/>
  </w:num>
  <w:num w:numId="26">
    <w:abstractNumId w:val="1"/>
  </w:num>
  <w:num w:numId="27">
    <w:abstractNumId w:val="20"/>
  </w:num>
  <w:num w:numId="28">
    <w:abstractNumId w:val="7"/>
  </w:num>
  <w:num w:numId="29">
    <w:abstractNumId w:val="21"/>
  </w:num>
  <w:num w:numId="30">
    <w:abstractNumId w:val="1"/>
  </w:num>
  <w:num w:numId="31">
    <w:abstractNumId w:val="1"/>
  </w:num>
  <w:num w:numId="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"/>
  </w:num>
  <w:num w:numId="34">
    <w:abstractNumId w:val="10"/>
  </w:num>
  <w:num w:numId="35">
    <w:abstractNumId w:val="16"/>
  </w:num>
  <w:num w:numId="36">
    <w:abstractNumId w:val="1"/>
  </w:num>
  <w:num w:numId="37">
    <w:abstractNumId w:val="1"/>
  </w:num>
  <w:num w:numId="38">
    <w:abstractNumId w:val="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924C24"/>
    <w:rsid w:val="00014F53"/>
    <w:rsid w:val="00021A83"/>
    <w:rsid w:val="00075A0D"/>
    <w:rsid w:val="00084355"/>
    <w:rsid w:val="000846C3"/>
    <w:rsid w:val="00092298"/>
    <w:rsid w:val="000B7060"/>
    <w:rsid w:val="000C3EE0"/>
    <w:rsid w:val="000F757C"/>
    <w:rsid w:val="00116647"/>
    <w:rsid w:val="001951C3"/>
    <w:rsid w:val="00196812"/>
    <w:rsid w:val="001B073B"/>
    <w:rsid w:val="001C109F"/>
    <w:rsid w:val="00227937"/>
    <w:rsid w:val="002B4425"/>
    <w:rsid w:val="00334CCE"/>
    <w:rsid w:val="0035306A"/>
    <w:rsid w:val="00370F43"/>
    <w:rsid w:val="0038368B"/>
    <w:rsid w:val="00385FEF"/>
    <w:rsid w:val="003A4C1E"/>
    <w:rsid w:val="00423252"/>
    <w:rsid w:val="004238A4"/>
    <w:rsid w:val="00456AEE"/>
    <w:rsid w:val="004E18D1"/>
    <w:rsid w:val="00515FB6"/>
    <w:rsid w:val="005E6AC2"/>
    <w:rsid w:val="005F54C9"/>
    <w:rsid w:val="00620B7F"/>
    <w:rsid w:val="006372EF"/>
    <w:rsid w:val="00653618"/>
    <w:rsid w:val="00664268"/>
    <w:rsid w:val="00664B0C"/>
    <w:rsid w:val="006B7D62"/>
    <w:rsid w:val="006C79F6"/>
    <w:rsid w:val="006E4375"/>
    <w:rsid w:val="00760531"/>
    <w:rsid w:val="00765FC9"/>
    <w:rsid w:val="00770D48"/>
    <w:rsid w:val="00794FF2"/>
    <w:rsid w:val="007B78B5"/>
    <w:rsid w:val="00802F72"/>
    <w:rsid w:val="00835082"/>
    <w:rsid w:val="008375DE"/>
    <w:rsid w:val="008708F1"/>
    <w:rsid w:val="008A3399"/>
    <w:rsid w:val="008D61CB"/>
    <w:rsid w:val="00905A55"/>
    <w:rsid w:val="00924C24"/>
    <w:rsid w:val="009513C1"/>
    <w:rsid w:val="009666D0"/>
    <w:rsid w:val="00981136"/>
    <w:rsid w:val="009B3BCE"/>
    <w:rsid w:val="009B511E"/>
    <w:rsid w:val="009D6875"/>
    <w:rsid w:val="00A150D6"/>
    <w:rsid w:val="00A15DD8"/>
    <w:rsid w:val="00A32ECE"/>
    <w:rsid w:val="00A411A8"/>
    <w:rsid w:val="00AE10EB"/>
    <w:rsid w:val="00AE772E"/>
    <w:rsid w:val="00B11EE3"/>
    <w:rsid w:val="00B1225E"/>
    <w:rsid w:val="00B16471"/>
    <w:rsid w:val="00B76CDB"/>
    <w:rsid w:val="00BA1B7A"/>
    <w:rsid w:val="00BC69A3"/>
    <w:rsid w:val="00BD4987"/>
    <w:rsid w:val="00C21218"/>
    <w:rsid w:val="00C276AB"/>
    <w:rsid w:val="00C63172"/>
    <w:rsid w:val="00CB72EC"/>
    <w:rsid w:val="00D029C5"/>
    <w:rsid w:val="00D31553"/>
    <w:rsid w:val="00D76FC6"/>
    <w:rsid w:val="00DC213F"/>
    <w:rsid w:val="00DD75EA"/>
    <w:rsid w:val="00E01C7F"/>
    <w:rsid w:val="00E1772B"/>
    <w:rsid w:val="00EA4D55"/>
    <w:rsid w:val="00ED419E"/>
    <w:rsid w:val="00EE192A"/>
    <w:rsid w:val="00F0426E"/>
    <w:rsid w:val="00F217C9"/>
    <w:rsid w:val="00F221DF"/>
    <w:rsid w:val="00F507D2"/>
    <w:rsid w:val="00F50A7D"/>
    <w:rsid w:val="00F86C4C"/>
    <w:rsid w:val="00F934BB"/>
    <w:rsid w:val="00FA1D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A9E254D4-DE70-4564-99F5-0A5849BF0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29C5"/>
  </w:style>
  <w:style w:type="paragraph" w:styleId="Nagwek1">
    <w:name w:val="heading 1"/>
    <w:aliases w:val="Title 1"/>
    <w:basedOn w:val="Normalny"/>
    <w:next w:val="Normalny"/>
    <w:link w:val="Nagwek1Znak"/>
    <w:uiPriority w:val="9"/>
    <w:qFormat/>
    <w:rsid w:val="00334CCE"/>
    <w:pPr>
      <w:keepNext/>
      <w:keepLines/>
      <w:numPr>
        <w:numId w:val="1"/>
      </w:numPr>
      <w:spacing w:before="480"/>
      <w:outlineLvl w:val="0"/>
    </w:pPr>
    <w:rPr>
      <w:rFonts w:ascii="Times New Roman" w:eastAsia="Times New Roman" w:hAnsi="Times New Roman" w:cs="Times New Roman"/>
      <w:b/>
      <w:bCs/>
      <w:color w:val="365F91"/>
      <w:sz w:val="28"/>
      <w:szCs w:val="28"/>
    </w:rPr>
  </w:style>
  <w:style w:type="paragraph" w:styleId="Nagwek2">
    <w:name w:val="heading 2"/>
    <w:aliases w:val="Title 2 Znak Znak,Title 2"/>
    <w:basedOn w:val="Normalny"/>
    <w:next w:val="Normalny"/>
    <w:link w:val="Nagwek2Znak"/>
    <w:uiPriority w:val="9"/>
    <w:unhideWhenUsed/>
    <w:qFormat/>
    <w:rsid w:val="009513C1"/>
    <w:pPr>
      <w:keepNext/>
      <w:keepLines/>
      <w:numPr>
        <w:ilvl w:val="1"/>
        <w:numId w:val="1"/>
      </w:numPr>
      <w:spacing w:before="40"/>
      <w:outlineLvl w:val="1"/>
    </w:pPr>
    <w:rPr>
      <w:rFonts w:ascii="Verdana" w:eastAsiaTheme="majorEastAsia" w:hAnsi="Verdana" w:cstheme="majorBidi"/>
      <w:b/>
      <w:sz w:val="18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B511E"/>
    <w:pPr>
      <w:keepNext/>
      <w:keepLines/>
      <w:numPr>
        <w:ilvl w:val="2"/>
        <w:numId w:val="1"/>
      </w:numPr>
      <w:spacing w:before="40"/>
      <w:outlineLvl w:val="2"/>
    </w:pPr>
    <w:rPr>
      <w:rFonts w:ascii="Verdana" w:eastAsiaTheme="majorEastAsia" w:hAnsi="Verdana" w:cstheme="majorBidi"/>
      <w:color w:val="243F60" w:themeColor="accent1" w:themeShade="7F"/>
      <w:sz w:val="18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B511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B511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B511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B511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B511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B511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029C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D029C5"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Akapitzlist">
    <w:name w:val="List Paragraph"/>
    <w:aliases w:val="myslnik"/>
    <w:basedOn w:val="Normalny"/>
    <w:uiPriority w:val="1"/>
    <w:qFormat/>
    <w:rsid w:val="00D029C5"/>
  </w:style>
  <w:style w:type="paragraph" w:customStyle="1" w:styleId="TableParagraph">
    <w:name w:val="Table Paragraph"/>
    <w:basedOn w:val="Normalny"/>
    <w:uiPriority w:val="1"/>
    <w:qFormat/>
    <w:rsid w:val="00D029C5"/>
  </w:style>
  <w:style w:type="table" w:styleId="Tabela-Siatka">
    <w:name w:val="Table Grid"/>
    <w:basedOn w:val="TableNormal"/>
    <w:uiPriority w:val="59"/>
    <w:rsid w:val="00D96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aliases w:val="Title 1 Znak"/>
    <w:basedOn w:val="Domylnaczcionkaakapitu"/>
    <w:link w:val="Nagwek1"/>
    <w:rsid w:val="00334CCE"/>
    <w:rPr>
      <w:rFonts w:ascii="Times New Roman" w:eastAsia="Times New Roman" w:hAnsi="Times New Roman" w:cs="Times New Roman"/>
      <w:b/>
      <w:bCs/>
      <w:color w:val="365F91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334C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4CCE"/>
  </w:style>
  <w:style w:type="paragraph" w:styleId="Stopka">
    <w:name w:val="footer"/>
    <w:basedOn w:val="Normalny"/>
    <w:link w:val="StopkaZnak"/>
    <w:uiPriority w:val="99"/>
    <w:unhideWhenUsed/>
    <w:rsid w:val="00334C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4CCE"/>
  </w:style>
  <w:style w:type="paragraph" w:styleId="Nagwekspisutreci">
    <w:name w:val="TOC Heading"/>
    <w:basedOn w:val="Nagwek1"/>
    <w:next w:val="Normalny"/>
    <w:uiPriority w:val="39"/>
    <w:unhideWhenUsed/>
    <w:qFormat/>
    <w:rsid w:val="009B511E"/>
    <w:pPr>
      <w:widowControl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pl-PL"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9B511E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9B511E"/>
    <w:pPr>
      <w:widowControl/>
      <w:spacing w:after="100" w:line="259" w:lineRule="auto"/>
      <w:ind w:left="220"/>
    </w:pPr>
    <w:rPr>
      <w:rFonts w:eastAsiaTheme="minorEastAsia"/>
      <w:lang w:val="pl-PL"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9B511E"/>
    <w:pPr>
      <w:widowControl/>
      <w:spacing w:after="100" w:line="259" w:lineRule="auto"/>
      <w:ind w:left="440"/>
    </w:pPr>
    <w:rPr>
      <w:rFonts w:eastAsiaTheme="minorEastAsia"/>
      <w:lang w:val="pl-PL" w:eastAsia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9B511E"/>
    <w:pPr>
      <w:widowControl/>
      <w:spacing w:after="100" w:line="259" w:lineRule="auto"/>
      <w:ind w:left="660"/>
    </w:pPr>
    <w:rPr>
      <w:rFonts w:eastAsiaTheme="minorEastAsia"/>
      <w:lang w:val="pl-PL"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9B511E"/>
    <w:pPr>
      <w:widowControl/>
      <w:spacing w:after="100" w:line="259" w:lineRule="auto"/>
      <w:ind w:left="880"/>
    </w:pPr>
    <w:rPr>
      <w:rFonts w:eastAsiaTheme="minorEastAsia"/>
      <w:lang w:val="pl-PL"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9B511E"/>
    <w:pPr>
      <w:widowControl/>
      <w:spacing w:after="100" w:line="259" w:lineRule="auto"/>
      <w:ind w:left="1100"/>
    </w:pPr>
    <w:rPr>
      <w:rFonts w:eastAsiaTheme="minorEastAsia"/>
      <w:lang w:val="pl-PL"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9B511E"/>
    <w:pPr>
      <w:widowControl/>
      <w:spacing w:after="100" w:line="259" w:lineRule="auto"/>
      <w:ind w:left="1320"/>
    </w:pPr>
    <w:rPr>
      <w:rFonts w:eastAsiaTheme="minorEastAsia"/>
      <w:lang w:val="pl-PL"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9B511E"/>
    <w:pPr>
      <w:widowControl/>
      <w:spacing w:after="100" w:line="259" w:lineRule="auto"/>
      <w:ind w:left="1540"/>
    </w:pPr>
    <w:rPr>
      <w:rFonts w:eastAsiaTheme="minorEastAsia"/>
      <w:lang w:val="pl-PL"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9B511E"/>
    <w:pPr>
      <w:widowControl/>
      <w:spacing w:after="100" w:line="259" w:lineRule="auto"/>
      <w:ind w:left="1760"/>
    </w:pPr>
    <w:rPr>
      <w:rFonts w:eastAsiaTheme="minorEastAsia"/>
      <w:lang w:val="pl-PL" w:eastAsia="pl-PL"/>
    </w:rPr>
  </w:style>
  <w:style w:type="character" w:styleId="Hipercze">
    <w:name w:val="Hyperlink"/>
    <w:basedOn w:val="Domylnaczcionkaakapitu"/>
    <w:uiPriority w:val="99"/>
    <w:unhideWhenUsed/>
    <w:rsid w:val="009B511E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B511E"/>
    <w:rPr>
      <w:color w:val="605E5C"/>
      <w:shd w:val="clear" w:color="auto" w:fill="E1DFDD"/>
    </w:rPr>
  </w:style>
  <w:style w:type="character" w:customStyle="1" w:styleId="Nagwek2Znak">
    <w:name w:val="Nagłówek 2 Znak"/>
    <w:aliases w:val="Title 2 Znak Znak Znak,Title 2 Znak"/>
    <w:basedOn w:val="Domylnaczcionkaakapitu"/>
    <w:link w:val="Nagwek2"/>
    <w:rsid w:val="009513C1"/>
    <w:rPr>
      <w:rFonts w:ascii="Verdana" w:eastAsiaTheme="majorEastAsia" w:hAnsi="Verdana" w:cstheme="majorBidi"/>
      <w:b/>
      <w:sz w:val="18"/>
      <w:szCs w:val="26"/>
    </w:rPr>
  </w:style>
  <w:style w:type="character" w:customStyle="1" w:styleId="Nagwek3Znak">
    <w:name w:val="Nagłówek 3 Znak"/>
    <w:basedOn w:val="Domylnaczcionkaakapitu"/>
    <w:link w:val="Nagwek3"/>
    <w:rsid w:val="009B511E"/>
    <w:rPr>
      <w:rFonts w:ascii="Verdana" w:eastAsiaTheme="majorEastAsia" w:hAnsi="Verdana" w:cstheme="majorBidi"/>
      <w:color w:val="243F60" w:themeColor="accent1" w:themeShade="7F"/>
      <w:sz w:val="18"/>
      <w:szCs w:val="24"/>
    </w:rPr>
  </w:style>
  <w:style w:type="character" w:customStyle="1" w:styleId="Nagwek4Znak">
    <w:name w:val="Nagłówek 4 Znak"/>
    <w:basedOn w:val="Domylnaczcionkaakapitu"/>
    <w:link w:val="Nagwek4"/>
    <w:rsid w:val="009B511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B511E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B511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B511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B511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B511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13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13C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13C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13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13C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13C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13C1"/>
    <w:rPr>
      <w:rFonts w:ascii="Segoe UI" w:hAnsi="Segoe UI" w:cs="Segoe UI"/>
      <w:sz w:val="18"/>
      <w:szCs w:val="18"/>
    </w:rPr>
  </w:style>
  <w:style w:type="paragraph" w:customStyle="1" w:styleId="StylNagwek3NiePogrubienie">
    <w:name w:val="Styl Nagłówek 3 + Nie Pogrubienie"/>
    <w:basedOn w:val="Nagwek3"/>
    <w:rsid w:val="00E1772B"/>
    <w:pPr>
      <w:keepLines w:val="0"/>
      <w:widowControl/>
      <w:numPr>
        <w:ilvl w:val="0"/>
        <w:numId w:val="0"/>
      </w:numPr>
      <w:tabs>
        <w:tab w:val="left" w:pos="737"/>
      </w:tabs>
      <w:spacing w:before="120"/>
      <w:jc w:val="both"/>
    </w:pPr>
    <w:rPr>
      <w:rFonts w:ascii="Arial" w:eastAsia="Times New Roman" w:hAnsi="Arial" w:cs="Arial"/>
      <w:color w:val="auto"/>
      <w:szCs w:val="26"/>
      <w:lang w:val="pl-PL" w:eastAsia="pl-PL"/>
    </w:rPr>
  </w:style>
  <w:style w:type="paragraph" w:customStyle="1" w:styleId="normalnypunkt">
    <w:name w:val="normalny punkt"/>
    <w:basedOn w:val="Normalny"/>
    <w:rsid w:val="00E1772B"/>
    <w:pPr>
      <w:widowControl/>
      <w:numPr>
        <w:numId w:val="2"/>
      </w:numPr>
      <w:spacing w:before="40"/>
      <w:jc w:val="both"/>
    </w:pPr>
    <w:rPr>
      <w:rFonts w:ascii="Arial" w:eastAsia="Times New Roman" w:hAnsi="Arial" w:cs="Arial"/>
      <w:bCs/>
      <w:iCs/>
      <w:sz w:val="18"/>
      <w:szCs w:val="20"/>
      <w:lang w:val="pl-PL" w:eastAsia="pl-PL"/>
    </w:rPr>
  </w:style>
  <w:style w:type="paragraph" w:customStyle="1" w:styleId="Nagwek2Pogrubienie">
    <w:name w:val="Nagłówek 2 + Pogrubienie"/>
    <w:basedOn w:val="Nagwek2"/>
    <w:rsid w:val="00E1772B"/>
    <w:pPr>
      <w:keepLines w:val="0"/>
      <w:widowControl/>
      <w:numPr>
        <w:numId w:val="2"/>
      </w:numPr>
      <w:spacing w:before="120"/>
      <w:jc w:val="both"/>
    </w:pPr>
    <w:rPr>
      <w:rFonts w:ascii="Arial" w:eastAsia="Times New Roman" w:hAnsi="Arial" w:cs="Arial"/>
      <w:b w:val="0"/>
      <w:bCs/>
      <w:kern w:val="24"/>
      <w:szCs w:val="24"/>
      <w:lang w:val="pl-PL" w:eastAsia="pl-PL"/>
    </w:rPr>
  </w:style>
  <w:style w:type="character" w:customStyle="1" w:styleId="Nagwek10">
    <w:name w:val="Nagłówek #1_"/>
    <w:link w:val="Nagwek11"/>
    <w:locked/>
    <w:rsid w:val="00092298"/>
    <w:rPr>
      <w:b/>
      <w:bCs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092298"/>
    <w:pPr>
      <w:shd w:val="clear" w:color="auto" w:fill="FFFFFF"/>
      <w:spacing w:line="461" w:lineRule="exact"/>
      <w:jc w:val="both"/>
      <w:outlineLvl w:val="0"/>
    </w:pPr>
    <w:rPr>
      <w:b/>
      <w:bCs/>
    </w:rPr>
  </w:style>
  <w:style w:type="paragraph" w:customStyle="1" w:styleId="Default">
    <w:name w:val="Default"/>
    <w:rsid w:val="00835082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character" w:customStyle="1" w:styleId="Teksttreci2">
    <w:name w:val="Tekst treści (2)_"/>
    <w:link w:val="Teksttreci21"/>
    <w:uiPriority w:val="99"/>
    <w:rsid w:val="009B3BCE"/>
    <w:rPr>
      <w:rFonts w:ascii="Arial" w:hAnsi="Arial"/>
      <w:sz w:val="19"/>
      <w:szCs w:val="19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9B3BCE"/>
    <w:pPr>
      <w:shd w:val="clear" w:color="auto" w:fill="FFFFFF"/>
      <w:spacing w:after="240" w:line="298" w:lineRule="exact"/>
      <w:ind w:hanging="520"/>
      <w:jc w:val="both"/>
    </w:pPr>
    <w:rPr>
      <w:rFonts w:ascii="Arial" w:hAnsi="Arial"/>
      <w:sz w:val="19"/>
      <w:szCs w:val="19"/>
    </w:rPr>
  </w:style>
  <w:style w:type="character" w:customStyle="1" w:styleId="Teksttreci27">
    <w:name w:val="Tekst treści (2) + 7"/>
    <w:aliases w:val="5 pt1"/>
    <w:uiPriority w:val="99"/>
    <w:rsid w:val="00653618"/>
    <w:rPr>
      <w:rFonts w:ascii="Arial" w:hAnsi="Arial" w:cs="Arial"/>
      <w:sz w:val="15"/>
      <w:szCs w:val="15"/>
      <w:u w:val="none"/>
      <w:shd w:val="clear" w:color="auto" w:fill="FFFFFF"/>
    </w:rPr>
  </w:style>
  <w:style w:type="character" w:customStyle="1" w:styleId="Teksttreci25pt">
    <w:name w:val="Tekst treści (2) + 5 pt"/>
    <w:aliases w:val="Małe litery"/>
    <w:uiPriority w:val="99"/>
    <w:rsid w:val="00653618"/>
    <w:rPr>
      <w:rFonts w:ascii="Arial" w:hAnsi="Arial" w:cs="Arial"/>
      <w:smallCaps/>
      <w:sz w:val="10"/>
      <w:szCs w:val="10"/>
      <w:u w:val="none"/>
      <w:shd w:val="clear" w:color="auto" w:fill="FFFFFF"/>
    </w:rPr>
  </w:style>
  <w:style w:type="character" w:customStyle="1" w:styleId="Teksttreci23">
    <w:name w:val="Tekst treści (2)3"/>
    <w:uiPriority w:val="99"/>
    <w:rsid w:val="00653618"/>
    <w:rPr>
      <w:rFonts w:ascii="Arial" w:hAnsi="Arial" w:cs="Arial"/>
      <w:sz w:val="19"/>
      <w:szCs w:val="19"/>
      <w:u w:val="none"/>
      <w:shd w:val="clear" w:color="auto" w:fill="FFFFFF"/>
    </w:rPr>
  </w:style>
  <w:style w:type="character" w:customStyle="1" w:styleId="Teksttreci22">
    <w:name w:val="Tekst treści (2)2"/>
    <w:uiPriority w:val="99"/>
    <w:rsid w:val="00653618"/>
    <w:rPr>
      <w:rFonts w:ascii="Arial" w:hAnsi="Arial" w:cs="Arial"/>
      <w:sz w:val="19"/>
      <w:szCs w:val="19"/>
      <w:u w:val="none"/>
      <w:shd w:val="clear" w:color="auto" w:fill="FFFFFF"/>
    </w:rPr>
  </w:style>
  <w:style w:type="paragraph" w:styleId="Legenda">
    <w:name w:val="caption"/>
    <w:basedOn w:val="Normalny"/>
    <w:next w:val="Normalny"/>
    <w:uiPriority w:val="35"/>
    <w:unhideWhenUsed/>
    <w:qFormat/>
    <w:rsid w:val="00ED419E"/>
    <w:pPr>
      <w:spacing w:after="200"/>
    </w:pPr>
    <w:rPr>
      <w:i/>
      <w:iCs/>
      <w:color w:val="1F497D" w:themeColor="text2"/>
      <w:sz w:val="18"/>
      <w:szCs w:val="18"/>
    </w:rPr>
  </w:style>
  <w:style w:type="paragraph" w:customStyle="1" w:styleId="STT">
    <w:name w:val="ST T"/>
    <w:basedOn w:val="Normalny"/>
    <w:link w:val="STTZnak"/>
    <w:uiPriority w:val="1"/>
    <w:qFormat/>
    <w:rsid w:val="00905A55"/>
    <w:pPr>
      <w:autoSpaceDE w:val="0"/>
      <w:autoSpaceDN w:val="0"/>
      <w:spacing w:before="60" w:line="280" w:lineRule="atLeast"/>
      <w:contextualSpacing/>
      <w:jc w:val="both"/>
    </w:pPr>
    <w:rPr>
      <w:rFonts w:ascii="Verdana" w:eastAsia="Verdana" w:hAnsi="Verdana" w:cs="Verdana"/>
      <w:color w:val="000000"/>
      <w:sz w:val="18"/>
      <w:szCs w:val="18"/>
      <w:lang w:val="pl-PL"/>
    </w:rPr>
  </w:style>
  <w:style w:type="character" w:customStyle="1" w:styleId="STTZnak">
    <w:name w:val="ST T Znak"/>
    <w:basedOn w:val="Domylnaczcionkaakapitu"/>
    <w:link w:val="STT"/>
    <w:uiPriority w:val="1"/>
    <w:rsid w:val="00905A55"/>
    <w:rPr>
      <w:rFonts w:ascii="Verdana" w:eastAsia="Verdana" w:hAnsi="Verdana" w:cs="Verdana"/>
      <w:color w:val="000000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80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EAC0F7-BA7D-4F57-8747-2561B81DC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1406</Words>
  <Characters>8436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Waszak, Agata</dc:creator>
  <cp:lastModifiedBy>Karolina Kubica</cp:lastModifiedBy>
  <cp:revision>3</cp:revision>
  <dcterms:created xsi:type="dcterms:W3CDTF">2022-01-24T15:50:00Z</dcterms:created>
  <dcterms:modified xsi:type="dcterms:W3CDTF">2022-11-04T10:39:00Z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f08ec5-d6d9-4227-8387-ccbfcb3632c4_Enabled">
    <vt:lpwstr>true</vt:lpwstr>
  </property>
  <property fmtid="{D5CDD505-2E9C-101B-9397-08002B2CF9AE}" pid="3" name="MSIP_Label_43f08ec5-d6d9-4227-8387-ccbfcb3632c4_SetDate">
    <vt:lpwstr>2021-05-03T09:11:04Z</vt:lpwstr>
  </property>
  <property fmtid="{D5CDD505-2E9C-101B-9397-08002B2CF9AE}" pid="4" name="MSIP_Label_43f08ec5-d6d9-4227-8387-ccbfcb3632c4_Method">
    <vt:lpwstr>Standard</vt:lpwstr>
  </property>
  <property fmtid="{D5CDD505-2E9C-101B-9397-08002B2CF9AE}" pid="5" name="MSIP_Label_43f08ec5-d6d9-4227-8387-ccbfcb3632c4_Name">
    <vt:lpwstr>Sweco Restricted</vt:lpwstr>
  </property>
  <property fmtid="{D5CDD505-2E9C-101B-9397-08002B2CF9AE}" pid="6" name="MSIP_Label_43f08ec5-d6d9-4227-8387-ccbfcb3632c4_SiteId">
    <vt:lpwstr>b7872ef0-9a00-4c18-8a4a-c7d25c778a9e</vt:lpwstr>
  </property>
  <property fmtid="{D5CDD505-2E9C-101B-9397-08002B2CF9AE}" pid="7" name="MSIP_Label_43f08ec5-d6d9-4227-8387-ccbfcb3632c4_ActionId">
    <vt:lpwstr>d238fa98-9788-4165-a834-65bbe2df2708</vt:lpwstr>
  </property>
  <property fmtid="{D5CDD505-2E9C-101B-9397-08002B2CF9AE}" pid="8" name="MSIP_Label_43f08ec5-d6d9-4227-8387-ccbfcb3632c4_ContentBits">
    <vt:lpwstr>0</vt:lpwstr>
  </property>
  <property fmtid="{D5CDD505-2E9C-101B-9397-08002B2CF9AE}" pid="9" name="MSIP_Label_b172001a-5ae3-41cb-841a-d0273f8e6817_Enabled">
    <vt:lpwstr>true</vt:lpwstr>
  </property>
  <property fmtid="{D5CDD505-2E9C-101B-9397-08002B2CF9AE}" pid="10" name="MSIP_Label_b172001a-5ae3-41cb-841a-d0273f8e6817_SetDate">
    <vt:lpwstr>2021-05-10T13:25:32Z</vt:lpwstr>
  </property>
  <property fmtid="{D5CDD505-2E9C-101B-9397-08002B2CF9AE}" pid="11" name="MSIP_Label_b172001a-5ae3-41cb-841a-d0273f8e6817_Method">
    <vt:lpwstr>Standard</vt:lpwstr>
  </property>
  <property fmtid="{D5CDD505-2E9C-101B-9397-08002B2CF9AE}" pid="12" name="MSIP_Label_b172001a-5ae3-41cb-841a-d0273f8e6817_Name">
    <vt:lpwstr>Public</vt:lpwstr>
  </property>
  <property fmtid="{D5CDD505-2E9C-101B-9397-08002B2CF9AE}" pid="13" name="MSIP_Label_b172001a-5ae3-41cb-841a-d0273f8e6817_SiteId">
    <vt:lpwstr>a43e0431-0a33-47e7-8758-14aa0084faef</vt:lpwstr>
  </property>
  <property fmtid="{D5CDD505-2E9C-101B-9397-08002B2CF9AE}" pid="14" name="MSIP_Label_b172001a-5ae3-41cb-841a-d0273f8e6817_ActionId">
    <vt:lpwstr>80f38466-80ef-4a19-a814-a51626b7cf77</vt:lpwstr>
  </property>
  <property fmtid="{D5CDD505-2E9C-101B-9397-08002B2CF9AE}" pid="15" name="MSIP_Label_b172001a-5ae3-41cb-841a-d0273f8e6817_ContentBits">
    <vt:lpwstr>0</vt:lpwstr>
  </property>
</Properties>
</file>